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AD8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黑体简体" w:hAnsi="方正黑体简体" w:eastAsia="方正黑体简体" w:cs="方正黑体简体"/>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vertAlign w:val="baseline"/>
          <w14:textFill>
            <w14:solidFill>
              <w14:schemeClr w14:val="tx1"/>
            </w14:solidFill>
          </w14:textFill>
        </w:rPr>
        <w:t>附件1：</w:t>
      </w:r>
    </w:p>
    <w:p w14:paraId="7C5ECF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default" w:ascii="Arial" w:hAnsi="Arial" w:cs="Arial"/>
          <w:i w:val="0"/>
          <w:iCs w:val="0"/>
          <w:caps w:val="0"/>
          <w:color w:val="000000" w:themeColor="text1"/>
          <w:spacing w:val="0"/>
          <w:sz w:val="18"/>
          <w:szCs w:val="18"/>
          <w14:textFill>
            <w14:solidFill>
              <w14:schemeClr w14:val="tx1"/>
            </w14:solidFill>
          </w14:textFill>
        </w:rPr>
      </w:pPr>
    </w:p>
    <w:p w14:paraId="0A4CDE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20" w:lineRule="exact"/>
        <w:ind w:left="0" w:right="0" w:firstLine="0"/>
        <w:jc w:val="center"/>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0"/>
          <w:sz w:val="43"/>
          <w:szCs w:val="43"/>
          <w:shd w:val="clear" w:fill="FFFFFF"/>
          <w:vertAlign w:val="baseline"/>
          <w14:textFill>
            <w14:solidFill>
              <w14:schemeClr w14:val="tx1"/>
            </w14:solidFill>
          </w14:textFill>
        </w:rPr>
        <w:t>重点人群健康体检信息化及辅助体检服务</w:t>
      </w:r>
      <w:r>
        <w:rPr>
          <w:rFonts w:hint="eastAsia" w:ascii="方正小标宋简体" w:hAnsi="方正小标宋简体" w:eastAsia="方正小标宋简体" w:cs="方正小标宋简体"/>
          <w:i w:val="0"/>
          <w:iCs w:val="0"/>
          <w:caps w:val="0"/>
          <w:color w:val="000000" w:themeColor="text1"/>
          <w:spacing w:val="0"/>
          <w:sz w:val="43"/>
          <w:szCs w:val="43"/>
          <w:vertAlign w:val="baseline"/>
          <w14:textFill>
            <w14:solidFill>
              <w14:schemeClr w14:val="tx1"/>
            </w14:solidFill>
          </w14:textFill>
        </w:rPr>
        <w:t>采购</w:t>
      </w:r>
      <w:r>
        <w:rPr>
          <w:rFonts w:ascii="方正小标宋简体" w:hAnsi="方正小标宋简体" w:eastAsia="方正小标宋简体" w:cs="方正小标宋简体"/>
          <w:i w:val="0"/>
          <w:iCs w:val="0"/>
          <w:caps w:val="0"/>
          <w:color w:val="000000" w:themeColor="text1"/>
          <w:spacing w:val="0"/>
          <w:sz w:val="43"/>
          <w:szCs w:val="43"/>
          <w:shd w:val="clear" w:fill="FFFFFF"/>
          <w:vertAlign w:val="baseline"/>
          <w14:textFill>
            <w14:solidFill>
              <w14:schemeClr w14:val="tx1"/>
            </w14:solidFill>
          </w14:textFill>
        </w:rPr>
        <w:t>项目</w:t>
      </w:r>
      <w:r>
        <w:rPr>
          <w:rFonts w:hint="eastAsia" w:ascii="方正小标宋简体" w:hAnsi="方正小标宋简体" w:eastAsia="方正小标宋简体" w:cs="方正小标宋简体"/>
          <w:i w:val="0"/>
          <w:iCs w:val="0"/>
          <w:caps w:val="0"/>
          <w:color w:val="000000" w:themeColor="text1"/>
          <w:spacing w:val="0"/>
          <w:sz w:val="43"/>
          <w:szCs w:val="43"/>
          <w:vertAlign w:val="baseline"/>
          <w14:textFill>
            <w14:solidFill>
              <w14:schemeClr w14:val="tx1"/>
            </w14:solidFill>
          </w14:textFill>
        </w:rPr>
        <w:t>市场调研报价表</w:t>
      </w:r>
    </w:p>
    <w:p w14:paraId="38F493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textAlignment w:val="baseline"/>
        <w:rPr>
          <w:rFonts w:hint="default" w:ascii="Arial" w:hAnsi="Arial" w:cs="Arial"/>
          <w:i w:val="0"/>
          <w:iCs w:val="0"/>
          <w:caps w:val="0"/>
          <w:color w:val="666666"/>
          <w:spacing w:val="0"/>
          <w:sz w:val="18"/>
          <w:szCs w:val="18"/>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15"/>
        <w:gridCol w:w="2863"/>
        <w:gridCol w:w="1322"/>
        <w:gridCol w:w="1695"/>
        <w:gridCol w:w="1695"/>
      </w:tblGrid>
      <w:tr w14:paraId="2A01F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9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2BBB1A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序号</w:t>
            </w:r>
          </w:p>
        </w:tc>
        <w:tc>
          <w:tcPr>
            <w:tcW w:w="28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A03DE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项目名称</w:t>
            </w:r>
          </w:p>
        </w:tc>
        <w:tc>
          <w:tcPr>
            <w:tcW w:w="132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3476FE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单价</w:t>
            </w:r>
          </w:p>
        </w:tc>
        <w:tc>
          <w:tcPr>
            <w:tcW w:w="16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73DC70D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人次</w:t>
            </w:r>
          </w:p>
        </w:tc>
        <w:tc>
          <w:tcPr>
            <w:tcW w:w="16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87200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总价</w:t>
            </w:r>
          </w:p>
        </w:tc>
      </w:tr>
      <w:tr w14:paraId="358A0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55" w:hRule="atLeast"/>
        </w:trPr>
        <w:tc>
          <w:tcPr>
            <w:tcW w:w="91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65D36D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1</w:t>
            </w:r>
          </w:p>
        </w:tc>
        <w:tc>
          <w:tcPr>
            <w:tcW w:w="2863"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1BF0D4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kern w:val="2"/>
                <w:sz w:val="32"/>
                <w:szCs w:val="32"/>
                <w:lang w:val="en-US" w:eastAsia="zh-CN" w:bidi="ar-SA"/>
              </w:rPr>
              <w:t>成都市青白江区弥牟镇公立中心卫生院重点人群健康体检信息化及辅助体检服务采购项目</w:t>
            </w:r>
          </w:p>
        </w:tc>
        <w:tc>
          <w:tcPr>
            <w:tcW w:w="1322"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7E7369B3">
            <w:pPr>
              <w:keepNext w:val="0"/>
              <w:keepLines w:val="0"/>
              <w:widowControl/>
              <w:suppressLineNumbers w:val="0"/>
              <w:spacing w:before="0" w:beforeAutospacing="0" w:after="0" w:afterAutospacing="0"/>
              <w:ind w:left="0" w:right="0"/>
              <w:jc w:val="left"/>
              <w:textAlignment w:val="baseline"/>
              <w:rPr>
                <w:rFonts w:hint="eastAsia" w:ascii="微软雅黑" w:hAnsi="微软雅黑" w:eastAsia="微软雅黑" w:cs="微软雅黑"/>
                <w:i w:val="0"/>
                <w:iCs w:val="0"/>
                <w:caps w:val="0"/>
                <w:color w:val="000000" w:themeColor="text1"/>
                <w:spacing w:val="0"/>
                <w:sz w:val="32"/>
                <w:szCs w:val="32"/>
                <w14:textFill>
                  <w14:solidFill>
                    <w14:schemeClr w14:val="tx1"/>
                  </w14:solidFill>
                </w14:textFill>
              </w:rPr>
            </w:pPr>
          </w:p>
        </w:tc>
        <w:tc>
          <w:tcPr>
            <w:tcW w:w="169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234240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p>
        </w:tc>
        <w:tc>
          <w:tcPr>
            <w:tcW w:w="169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18AD4B67">
            <w:pPr>
              <w:keepNext w:val="0"/>
              <w:keepLines w:val="0"/>
              <w:widowControl/>
              <w:suppressLineNumbers w:val="0"/>
              <w:spacing w:before="0" w:beforeAutospacing="0" w:after="0" w:afterAutospacing="0"/>
              <w:ind w:left="0" w:right="0"/>
              <w:jc w:val="left"/>
              <w:textAlignment w:val="baseline"/>
              <w:rPr>
                <w:rFonts w:hint="eastAsia" w:ascii="微软雅黑" w:hAnsi="微软雅黑" w:eastAsia="微软雅黑" w:cs="微软雅黑"/>
                <w:i w:val="0"/>
                <w:iCs w:val="0"/>
                <w:caps w:val="0"/>
                <w:color w:val="000000" w:themeColor="text1"/>
                <w:spacing w:val="0"/>
                <w:sz w:val="32"/>
                <w:szCs w:val="32"/>
                <w14:textFill>
                  <w14:solidFill>
                    <w14:schemeClr w14:val="tx1"/>
                  </w14:solidFill>
                </w14:textFill>
              </w:rPr>
            </w:pPr>
          </w:p>
        </w:tc>
      </w:tr>
      <w:tr w14:paraId="0A9CA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85" w:hRule="atLeast"/>
        </w:trPr>
        <w:tc>
          <w:tcPr>
            <w:tcW w:w="8490" w:type="dxa"/>
            <w:gridSpan w:val="5"/>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513D8A1">
            <w:pPr>
              <w:spacing w:line="580" w:lineRule="exact"/>
              <w:ind w:firstLine="560" w:firstLineChars="200"/>
              <w:rPr>
                <w:rFonts w:hint="default" w:eastAsia="方正仿宋简体"/>
                <w:color w:val="000000" w:themeColor="text1"/>
                <w:sz w:val="32"/>
                <w:szCs w:val="32"/>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28"/>
                <w:szCs w:val="28"/>
                <w:vertAlign w:val="baseline"/>
                <w14:textFill>
                  <w14:solidFill>
                    <w14:schemeClr w14:val="tx1"/>
                  </w14:solidFill>
                </w14:textFill>
              </w:rPr>
              <w:t>备注：报价应是最终用户验收合格后的总价，包括设备运输、保险、代理、安装调试、培训、税费、系统端口接入、场地改造费用等费用。</w:t>
            </w:r>
            <w:r>
              <w:rPr>
                <w:rFonts w:hint="eastAsia" w:ascii="方正仿宋简体" w:hAnsi="方正仿宋简体" w:eastAsia="方正仿宋简体" w:cs="方正仿宋简体"/>
                <w:sz w:val="30"/>
                <w:szCs w:val="30"/>
              </w:rPr>
              <w:t>医院</w:t>
            </w:r>
            <w:r>
              <w:rPr>
                <w:rFonts w:hint="eastAsia" w:ascii="方正仿宋简体" w:hAnsi="方正仿宋简体" w:eastAsia="方正仿宋简体" w:cs="方正仿宋简体"/>
                <w:sz w:val="30"/>
                <w:szCs w:val="30"/>
                <w:lang w:eastAsia="zh-CN"/>
              </w:rPr>
              <w:t>将</w:t>
            </w:r>
            <w:r>
              <w:rPr>
                <w:rFonts w:hint="eastAsia" w:ascii="方正仿宋简体" w:hAnsi="方正仿宋简体" w:eastAsia="方正仿宋简体" w:cs="方正仿宋简体"/>
                <w:sz w:val="30"/>
                <w:szCs w:val="30"/>
              </w:rPr>
              <w:t>根据最终上传合格总人数向成交供应商支付服务费。</w:t>
            </w:r>
          </w:p>
        </w:tc>
      </w:tr>
    </w:tbl>
    <w:p w14:paraId="119CC0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3A059E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3D29B2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报价单位：</w:t>
      </w:r>
    </w:p>
    <w:p w14:paraId="4493E2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联系方式：</w:t>
      </w:r>
    </w:p>
    <w:p w14:paraId="3A889C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时</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lang w:eastAsia="zh-CN"/>
        </w:rPr>
        <w:t>间：</w:t>
      </w:r>
    </w:p>
    <w:p w14:paraId="6E160F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5A3D11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43C496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2470CB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4654AA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附件2</w:t>
      </w:r>
    </w:p>
    <w:p w14:paraId="7DAB4E42">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成都市青白江区弥牟</w:t>
      </w:r>
      <w:r>
        <w:rPr>
          <w:rFonts w:hint="eastAsia" w:ascii="方正小标宋简体" w:hAnsi="方正小标宋简体" w:eastAsia="方正小标宋简体" w:cs="方正小标宋简体"/>
          <w:sz w:val="44"/>
          <w:szCs w:val="44"/>
        </w:rPr>
        <w:t>镇公立中心卫生院</w:t>
      </w:r>
    </w:p>
    <w:p w14:paraId="78315E59">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重点人群健康体检信息化及辅助体检服务</w:t>
      </w:r>
      <w:r>
        <w:rPr>
          <w:rFonts w:hint="eastAsia" w:ascii="方正小标宋简体" w:hAnsi="方正小标宋简体" w:eastAsia="方正小标宋简体" w:cs="方正小标宋简体"/>
          <w:sz w:val="44"/>
          <w:szCs w:val="44"/>
          <w:lang w:eastAsia="zh-CN"/>
        </w:rPr>
        <w:t>技术参数</w:t>
      </w:r>
    </w:p>
    <w:p w14:paraId="640133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atLeast"/>
        <w:ind w:right="0"/>
        <w:jc w:val="both"/>
        <w:textAlignment w:val="baseline"/>
        <w:rPr>
          <w:rFonts w:ascii="方正黑体简体" w:hAnsi="方正黑体简体" w:eastAsia="方正黑体简体" w:cs="方正黑体简体"/>
          <w:i w:val="0"/>
          <w:iCs w:val="0"/>
          <w:caps w:val="0"/>
          <w:color w:val="auto"/>
          <w:spacing w:val="0"/>
          <w:sz w:val="31"/>
          <w:szCs w:val="31"/>
          <w:shd w:val="clear" w:fill="FFFFFF"/>
          <w:vertAlign w:val="baseline"/>
        </w:rPr>
      </w:pPr>
    </w:p>
    <w:p w14:paraId="4FB553B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ascii="方正黑体简体" w:hAnsi="方正黑体简体" w:eastAsia="方正黑体简体" w:cs="方正黑体简体"/>
          <w:i w:val="0"/>
          <w:iCs w:val="0"/>
          <w:caps w:val="0"/>
          <w:color w:val="auto"/>
          <w:spacing w:val="0"/>
          <w:sz w:val="31"/>
          <w:szCs w:val="31"/>
          <w:shd w:val="clear" w:fill="FFFFFF"/>
          <w:vertAlign w:val="baseline"/>
        </w:rPr>
        <w:t>一、车辆配置</w:t>
      </w:r>
    </w:p>
    <w:p w14:paraId="7030E3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ascii="方正仿宋简体" w:hAnsi="方正仿宋简体" w:eastAsia="方正仿宋简体" w:cs="方正仿宋简体"/>
          <w:i w:val="0"/>
          <w:iCs w:val="0"/>
          <w:caps w:val="0"/>
          <w:color w:val="auto"/>
          <w:spacing w:val="0"/>
          <w:sz w:val="31"/>
          <w:szCs w:val="31"/>
          <w:shd w:val="clear" w:fill="FFFFFF"/>
          <w:vertAlign w:val="baseline"/>
        </w:rPr>
        <w:t>体检车</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至少</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2</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台</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t>（含一台</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DR移动车）</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，车辆长*宽*高≥长5米、宽2米、高2米，车上需配置空调。</w:t>
      </w:r>
    </w:p>
    <w:p w14:paraId="7A70F9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黑体简体" w:hAnsi="方正黑体简体" w:eastAsia="方正黑体简体" w:cs="方正黑体简体"/>
          <w:i w:val="0"/>
          <w:iCs w:val="0"/>
          <w:caps w:val="0"/>
          <w:color w:val="auto"/>
          <w:spacing w:val="0"/>
          <w:sz w:val="31"/>
          <w:szCs w:val="31"/>
          <w:shd w:val="clear" w:fill="FFFFFF"/>
          <w:vertAlign w:val="baseline"/>
        </w:rPr>
        <w:t>二、需要配备以下用于开展体检的设施设备</w:t>
      </w:r>
    </w:p>
    <w:p w14:paraId="71ECD5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（一）身份证阅读器1台：用于读取二代身份证，进行体检登记；</w:t>
      </w:r>
    </w:p>
    <w:p w14:paraId="7CCD08A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（二）热敏式条码打印机1台：用于打印受检者身份条形码；</w:t>
      </w:r>
    </w:p>
    <w:p w14:paraId="6F5A61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（三）摄像头</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8</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台：用于各个岗位受检者人像采集；</w:t>
      </w:r>
    </w:p>
    <w:p w14:paraId="67C6AE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（四）条码扫码仪至少12个：用于链接</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各</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个岗位设备进行扫描检测；</w:t>
      </w:r>
    </w:p>
    <w:p w14:paraId="02E356D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（五）电子智能身高体重秤1台：用于检测受检者身高体重；</w:t>
      </w:r>
    </w:p>
    <w:p w14:paraId="13DEE2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（六）电子血压计4台：用于受检者血压检测；</w:t>
      </w:r>
    </w:p>
    <w:p w14:paraId="06269C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（七）便携式B超机1台：用于受检者B超检测；</w:t>
      </w:r>
    </w:p>
    <w:p w14:paraId="2E7A53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（八）</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十二通道</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数字心电图机1台：用于受检者心电检测；</w:t>
      </w:r>
    </w:p>
    <w:p w14:paraId="3F2206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（九）无线模块组网1套：用于实现现场体检数据局域网内实时传输；</w:t>
      </w:r>
    </w:p>
    <w:p w14:paraId="1FA83E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（十）登记工作站电脑1台：用于受检者体检登记；</w:t>
      </w:r>
    </w:p>
    <w:p w14:paraId="677320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（十一）各岗位工作电脑</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10</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台：用于各个岗位体检数据传输整合；</w:t>
      </w:r>
    </w:p>
    <w:p w14:paraId="2260F5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（十二）车载DR1台：用于受检者胸部正位X线检测；</w:t>
      </w:r>
    </w:p>
    <w:p w14:paraId="3895AE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（十三）同时需要配备齐全相关的插线板和体检所需要的工具，体检设备应该有备用，在特殊情况下保证10分钟内能启用。</w:t>
      </w:r>
    </w:p>
    <w:p w14:paraId="590580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黑体简体" w:hAnsi="方正黑体简体" w:eastAsia="方正黑体简体" w:cs="方正黑体简体"/>
          <w:i w:val="0"/>
          <w:iCs w:val="0"/>
          <w:caps w:val="0"/>
          <w:color w:val="auto"/>
          <w:spacing w:val="0"/>
          <w:sz w:val="31"/>
          <w:szCs w:val="31"/>
          <w:shd w:val="clear" w:fill="FFFFFF"/>
          <w:vertAlign w:val="baseline"/>
        </w:rPr>
        <w:t>三、公卫体检系统要求</w:t>
      </w:r>
    </w:p>
    <w:p w14:paraId="033AE7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none"/>
        </w:rPr>
      </w:pP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（一）公卫体检系统产生的数据符合国家基本公共卫生服务规范2017年第三版要求</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eastAsia="zh-CN"/>
        </w:rPr>
        <w:t>，按</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val="en-US" w:eastAsia="zh-CN"/>
        </w:rPr>
        <w:t>青白江公卫要求对接四川省健康档案云平台/智业平台</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w:t>
      </w:r>
    </w:p>
    <w:p w14:paraId="5638D2E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（二）公卫体检系统可对接实验室生化、血常规、尿机、身高体重秤、血压计、心电图、B超、DR等设备。</w:t>
      </w:r>
    </w:p>
    <w:p w14:paraId="7744728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（三）公卫体检系统可支持院内体检及下乡体检，在断网情况下也可正常开展体检。</w:t>
      </w:r>
    </w:p>
    <w:p w14:paraId="7EEE79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（四）公卫体检系统后台管理系统可满足个人基本信息表、健康评价及指导填写。</w:t>
      </w:r>
    </w:p>
    <w:p w14:paraId="7D355F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（五）公卫体检系统后台管理系统支持体检报告及档案单份打印及批量打印，供应商需提供审核无误后的彩打体检报告纸质档</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人均</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一份。</w:t>
      </w:r>
    </w:p>
    <w:p w14:paraId="3D8B07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none"/>
        </w:rPr>
      </w:pP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（六）自动导出当日体检信息登记表</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val="en-US" w:eastAsia="zh-CN"/>
        </w:rPr>
        <w:t>按人群类型分类</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、体检项目缺项表。</w:t>
      </w:r>
    </w:p>
    <w:p w14:paraId="12316D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（七）软件整合公卫老年人体检、慢性病人群体检内容及项目为一体。</w:t>
      </w:r>
    </w:p>
    <w:p w14:paraId="3A9A5F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none"/>
        </w:rPr>
      </w:pP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（八）与医疗端系统真正实施互联互通、信息共享。</w:t>
      </w:r>
    </w:p>
    <w:p w14:paraId="309007B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（九）数据分析能够根据村组、年龄、疾病谱、控制率等不同需求进行不同抓取并且获得分析报告。</w:t>
      </w:r>
    </w:p>
    <w:p w14:paraId="16BF1D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（十）体检异常数据预警功能、体检危急值紧急提示和后期追踪功能。</w:t>
      </w:r>
    </w:p>
    <w:p w14:paraId="136A40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黑体简体" w:hAnsi="方正黑体简体" w:eastAsia="方正黑体简体" w:cs="方正黑体简体"/>
          <w:i w:val="0"/>
          <w:iCs w:val="0"/>
          <w:caps w:val="0"/>
          <w:color w:val="auto"/>
          <w:spacing w:val="0"/>
          <w:sz w:val="31"/>
          <w:szCs w:val="31"/>
          <w:shd w:val="clear" w:fill="FFFFFF"/>
          <w:vertAlign w:val="baseline"/>
        </w:rPr>
        <w:t>四、其他要求</w:t>
      </w:r>
    </w:p>
    <w:p w14:paraId="5DE8EE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（一）成交供应商提供信息化技术服务人员，进行数据维护及异常数据处理。</w:t>
      </w:r>
    </w:p>
    <w:p w14:paraId="1D42B9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none"/>
        </w:rPr>
      </w:pP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（二）成交供应商提供B超</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val="en-US" w:eastAsia="zh-CN"/>
        </w:rPr>
        <w:t>工作人员1名（具有相关合法资质）</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val="en-US" w:eastAsia="zh-CN"/>
        </w:rPr>
        <w:t>血液标本采集</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人员</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val="en-US" w:eastAsia="zh-CN"/>
        </w:rPr>
        <w:t>1名（具有相关合法资质）</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val="en-US" w:eastAsia="zh-CN"/>
        </w:rPr>
        <w:t>出具报告须符合相关法律要求。</w:t>
      </w:r>
    </w:p>
    <w:p w14:paraId="08192D3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（三）成交供应商提供体检服务所有试剂耗材。</w:t>
      </w:r>
    </w:p>
    <w:p w14:paraId="4C8FF1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黑体简体" w:hAnsi="方正黑体简体" w:eastAsia="方正黑体简体" w:cs="方正黑体简体"/>
          <w:i w:val="0"/>
          <w:iCs w:val="0"/>
          <w:caps w:val="0"/>
          <w:color w:val="auto"/>
          <w:spacing w:val="0"/>
          <w:sz w:val="31"/>
          <w:szCs w:val="31"/>
          <w:shd w:val="clear" w:fill="FFFFFF"/>
          <w:vertAlign w:val="baseline"/>
        </w:rPr>
        <w:t>五、智能信息化公卫体检管理系统模块及功能要求</w:t>
      </w:r>
    </w:p>
    <w:p w14:paraId="1DBF9A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yellow"/>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一）数据采集模块：具备体检人员登记功能、利用二代身份证读卡器识别人员信息，并可对人员信息进行添加、删除、修改、打印条码等操作；登记处自动打印检验条码，查体过程中可以扫描检验项目条码，并在查体报告中呈现。通过与LIS接口，系统可自动导入检验结果，且结果准确，无空项漏项错项，并根据检验结果产生与之匹配的诊断结论和指导意见。系统支持各个岗位录影录像或者拍照留取头像功能，影、像数据</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均需提供保存功能。同时支持展示上一年度历史数据，偏离值异常的数据能够预警提示。</w:t>
      </w:r>
    </w:p>
    <w:p w14:paraId="635E32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（二）体检流程模块：软件工作流程</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需</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将人员登记、抽血、体格检查、尿液分析、生化分析、B超、心电、问询</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中医</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等现场体检工作区分开来。</w:t>
      </w:r>
    </w:p>
    <w:p w14:paraId="08FCDF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（三）身高体重血压采集模块：采用智能终端机采集人员身高、体重、血压，结果数据同步传输到管理系统中确保数据不会丢失，并可自动传输数值至中医体质问询系统，支持信息实时上传，支持条形码扫码。</w:t>
      </w:r>
    </w:p>
    <w:p w14:paraId="43335B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none"/>
        </w:rPr>
      </w:pP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（四）心电图、B超、DR采集模块：人员完成心电图或者B超或者DR检查后，系统可通过局域网/U盘提取传输等方式采集数据，</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lang w:eastAsia="zh-CN"/>
        </w:rPr>
        <w:t>同时</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具备人工导入功能模块，图片上传健康档案。</w:t>
      </w:r>
    </w:p>
    <w:p w14:paraId="434EA0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五）问询模块：支持用户采集体检人员问询数据，包括症状、一般状况、生活方式、脏器功能、查体、辅助检查、现存主要健康问题、住院治疗情况、主要用药情况、非免疫规划预防接种史，同时支持展示上一年度历史数据</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t>。</w:t>
      </w:r>
    </w:p>
    <w:p w14:paraId="4425B5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六</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中医模块</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系统可通过中医体质辨识问题的问询自动计算总分，并可自动判断产生对应的中医体质及慢病患者干预</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慢病中医干预中的体质与中医体质辨识结果相符</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w:t>
      </w:r>
    </w:p>
    <w:p w14:paraId="7EC545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七</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）血常规、血生化及空腹血糖模块：人员完成抽血后</w:t>
      </w: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提供相关存储设施设备，按照标准进行存放，专人搜集标本，在标准实验室或同等级别的试验地点做检查，系统可通过局域</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网/U盘提取传输等方式来采集结果数据，具备人工导入功能模块。</w:t>
      </w:r>
    </w:p>
    <w:p w14:paraId="5B19D8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黑体简体" w:hAnsi="方正黑体简体" w:eastAsia="方正黑体简体" w:cs="方正黑体简体"/>
          <w:i w:val="0"/>
          <w:iCs w:val="0"/>
          <w:caps w:val="0"/>
          <w:color w:val="auto"/>
          <w:spacing w:val="0"/>
          <w:sz w:val="31"/>
          <w:szCs w:val="31"/>
          <w:shd w:val="clear" w:fill="FFFFFF"/>
          <w:vertAlign w:val="baseline"/>
        </w:rPr>
        <w:t>六、软件系统及其他要求</w:t>
      </w:r>
    </w:p>
    <w:p w14:paraId="26BE78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一）数据分析功能：可生成和打印数据统计报表，数据统计报表应对应相关检测类别，并带有形状图表。系统实现自动智能分析异常的健康检查数据，包括异常心电图、异常血压、血糖、尿常规等体检数据，并可生成异常数据的相关建议报告。系统支持打印第三版公卫体检表及体检反馈单样表。</w:t>
      </w:r>
    </w:p>
    <w:p w14:paraId="49C3D2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二）系统统计分析部分，可以根据用户体检出来的数据情况，按卫生院进行体检人员本年度数据整体进行分析形成报告，并且可以根据实际需要进行修改。在体检结束后的15个工作日内形成完整的重点人群（老年人、高血压、糖尿病</w:t>
      </w:r>
      <w:r>
        <w:rPr>
          <w:rFonts w:hint="eastAsia" w:ascii="方正仿宋简体" w:hAnsi="方正仿宋简体" w:eastAsia="方正仿宋简体" w:cs="方正仿宋简体"/>
          <w:i w:val="0"/>
          <w:iCs w:val="0"/>
          <w:caps w:val="0"/>
          <w:color w:val="0000FF"/>
          <w:spacing w:val="0"/>
          <w:sz w:val="31"/>
          <w:szCs w:val="31"/>
          <w:shd w:val="clear"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shd w:val="clear" w:fill="FFFFFF"/>
          <w:vertAlign w:val="baseline"/>
          <w:lang w:val="en-US" w:eastAsia="zh-CN"/>
        </w:rPr>
        <w:t>慢阻肺</w:t>
      </w:r>
      <w:r>
        <w:rPr>
          <w:rFonts w:hint="eastAsia" w:ascii="方正仿宋简体" w:hAnsi="方正仿宋简体" w:eastAsia="方正仿宋简体" w:cs="方正仿宋简体"/>
          <w:i w:val="0"/>
          <w:iCs w:val="0"/>
          <w:caps w:val="0"/>
          <w:color w:val="auto"/>
          <w:spacing w:val="0"/>
          <w:sz w:val="31"/>
          <w:szCs w:val="31"/>
          <w:shd w:val="clear" w:fill="FFFFFF"/>
          <w:vertAlign w:val="baseline"/>
        </w:rPr>
        <w:t>患者）当年度体检分析报告。</w:t>
      </w:r>
    </w:p>
    <w:p w14:paraId="3D29BC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（三）系统具有数据缺项筛选功能，可根据管理账户授权进行复核修正。</w:t>
      </w:r>
    </w:p>
    <w:p w14:paraId="3A1DB8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（四）采集模块完成后，针对每一个体检人员出具纸质体检报告，根据体检报告的具体内容，智能分析，并针对每个体检人员给出适宜的体检建议。报告格式符合青白江区要求。</w:t>
      </w:r>
    </w:p>
    <w:p w14:paraId="3D45D44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（五）系统支持导出电子体检报告，至少包含WORD、PDF等格式的体检报告。</w:t>
      </w:r>
    </w:p>
    <w:p w14:paraId="03E5B9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none"/>
        </w:rPr>
      </w:pP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（六）体检报告可通过接口传输至平台管理端，支持体检居民可通过微信公众号查询体检报告。</w:t>
      </w:r>
    </w:p>
    <w:p w14:paraId="5B8790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（七）可视化平台：实时动态显示登记人数、体检人数，并以图形的方式展现按年龄/人群分类等统计结果（如饼形图、柱状图），供采购人查看以提供决策依据。</w:t>
      </w:r>
    </w:p>
    <w:p w14:paraId="05021B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（八）管理模块：授权码设置，按照人数进行授权管理；系统可以设置并可自定义硬件技术要求，以便后期用户更换硬件型号或品牌能够继续使用本系统。</w:t>
      </w:r>
    </w:p>
    <w:p w14:paraId="3A52E1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九）软件离线状态下可进行体检操作，并能自动保存至少10000人次以上的检查数据，体检结束后原始数据拷贝到医院电脑或者硬盘保存。在联网状态下由终端软件进行交互后实现数据自动上传到管理端平台，院方可以从管理端平台实时下载调用数据。</w:t>
      </w:r>
    </w:p>
    <w:p w14:paraId="12C3CC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highlight w:val="none"/>
        </w:rPr>
      </w:pPr>
      <w:r>
        <w:rPr>
          <w:rFonts w:hint="eastAsia" w:ascii="方正仿宋简体" w:hAnsi="方正仿宋简体" w:eastAsia="方正仿宋简体" w:cs="方正仿宋简体"/>
          <w:i w:val="0"/>
          <w:iCs w:val="0"/>
          <w:caps w:val="0"/>
          <w:color w:val="auto"/>
          <w:spacing w:val="0"/>
          <w:sz w:val="31"/>
          <w:szCs w:val="31"/>
          <w:highlight w:val="none"/>
          <w:shd w:val="clear" w:fill="FFFFFF"/>
          <w:vertAlign w:val="baseline"/>
        </w:rPr>
        <w:t>（十）现场数据对比功能：系统支持在体检现场对同一个人上一年度的体检结果进行对比，当对比数据符合逻辑，满足《国家基本公共卫生服务规范》（第三版）要求，系统才能进行下一步操作。</w:t>
      </w:r>
    </w:p>
    <w:p w14:paraId="250566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方正黑体简体" w:hAnsi="方正黑体简体" w:eastAsia="方正黑体简体" w:cs="方正黑体简体"/>
          <w:sz w:val="32"/>
          <w:szCs w:val="32"/>
          <w:lang w:val="en-US" w:eastAsia="zh-CN"/>
        </w:rPr>
      </w:pPr>
      <w:r>
        <w:rPr>
          <w:rFonts w:hint="eastAsia" w:ascii="方正仿宋简体" w:hAnsi="方正仿宋简体" w:eastAsia="方正仿宋简体" w:cs="方正仿宋简体"/>
          <w:i w:val="0"/>
          <w:iCs w:val="0"/>
          <w:caps w:val="0"/>
          <w:color w:val="auto"/>
          <w:spacing w:val="0"/>
          <w:sz w:val="31"/>
          <w:szCs w:val="31"/>
          <w:shd w:val="clear" w:fill="FFFFFF"/>
          <w:vertAlign w:val="baseline"/>
        </w:rPr>
        <w:t>（十一）能够与青白江区使用的公卫系统互联互通，并且支持点对点数据上传和点对点数据撤回，上传数据无缺项漏项错项。</w:t>
      </w:r>
    </w:p>
    <w:p w14:paraId="52CB954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E4D4A06-028F-4BEF-9E71-7FAB58AF8D39}"/>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8502002-1EC1-4166-8940-1273A951CED3}"/>
  </w:font>
  <w:font w:name="微软雅黑">
    <w:panose1 w:val="020B0503020204020204"/>
    <w:charset w:val="86"/>
    <w:family w:val="auto"/>
    <w:pitch w:val="default"/>
    <w:sig w:usb0="80000287" w:usb1="2ACF3C50" w:usb2="00000016" w:usb3="00000000" w:csb0="0004001F" w:csb1="00000000"/>
    <w:embedRegular r:id="rId3" w:fontKey="{A0B21485-9345-42F7-B287-AF5EF5696631}"/>
  </w:font>
  <w:font w:name="Tahoma">
    <w:panose1 w:val="020B0604030504040204"/>
    <w:charset w:val="00"/>
    <w:family w:val="auto"/>
    <w:pitch w:val="default"/>
    <w:sig w:usb0="E1002EFF" w:usb1="C000605B" w:usb2="00000029" w:usb3="00000000" w:csb0="200101FF" w:csb1="20280000"/>
  </w:font>
  <w:font w:name="方正黑体简体">
    <w:panose1 w:val="03000509000000000000"/>
    <w:charset w:val="86"/>
    <w:family w:val="auto"/>
    <w:pitch w:val="default"/>
    <w:sig w:usb0="00000001" w:usb1="080E0000" w:usb2="00000000" w:usb3="00000000" w:csb0="00040000" w:csb1="00000000"/>
    <w:embedRegular r:id="rId4" w:fontKey="{9575BDA0-2037-4770-A2DF-53AFA8728FFD}"/>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5" w:fontKey="{8A8F01DE-2642-4253-9793-43121553D73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192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2025-12-11T02:38:27Z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eyJoZGlkIjoiNjhkNTU1MGIxZDg2MmUwOWExODhlNTM3MWEyNjMyNjcifQ==</vt:lpwstr>
  </property>
  <property fmtid="{D5CDD505-2E9C-101B-9397-08002B2CF9AE}" pid="4" name="ICV">
    <vt:lpwstr>33A7496CB11F456DA6C37C776357BEBB_12</vt:lpwstr>
  </property>
</Properties>
</file>