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4AD8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黑体简体" w:hAnsi="方正黑体简体" w:eastAsia="方正黑体简体" w:cs="方正黑体简体"/>
          <w:i w:val="0"/>
          <w:iCs w:val="0"/>
          <w:caps w:val="0"/>
          <w:color w:val="000000" w:themeColor="text1"/>
          <w:spacing w:val="0"/>
          <w:sz w:val="18"/>
          <w:szCs w:val="18"/>
          <w14:textFill>
            <w14:solidFill>
              <w14:schemeClr w14:val="tx1"/>
            </w14:solidFill>
          </w14:textFill>
        </w:rPr>
      </w:pPr>
      <w:r>
        <w:rPr>
          <w:rFonts w:hint="eastAsia" w:ascii="方正黑体简体" w:hAnsi="方正黑体简体" w:eastAsia="方正黑体简体" w:cs="方正黑体简体"/>
          <w:i w:val="0"/>
          <w:iCs w:val="0"/>
          <w:caps w:val="0"/>
          <w:color w:val="000000" w:themeColor="text1"/>
          <w:spacing w:val="0"/>
          <w:sz w:val="31"/>
          <w:szCs w:val="31"/>
          <w:vertAlign w:val="baseline"/>
          <w14:textFill>
            <w14:solidFill>
              <w14:schemeClr w14:val="tx1"/>
            </w14:solidFill>
          </w14:textFill>
        </w:rPr>
        <w:t>附件1：</w:t>
      </w:r>
    </w:p>
    <w:p w14:paraId="7C5ECF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default" w:ascii="Arial" w:hAnsi="Arial" w:cs="Arial"/>
          <w:i w:val="0"/>
          <w:iCs w:val="0"/>
          <w:caps w:val="0"/>
          <w:color w:val="000000" w:themeColor="text1"/>
          <w:spacing w:val="0"/>
          <w:sz w:val="18"/>
          <w:szCs w:val="18"/>
          <w14:textFill>
            <w14:solidFill>
              <w14:schemeClr w14:val="tx1"/>
            </w14:solidFill>
          </w14:textFill>
        </w:rPr>
      </w:pPr>
    </w:p>
    <w:p w14:paraId="0A4CDE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720" w:lineRule="exact"/>
        <w:ind w:left="0" w:right="0" w:firstLine="0"/>
        <w:jc w:val="center"/>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ascii="方正小标宋简体" w:hAnsi="方正小标宋简体" w:eastAsia="方正小标宋简体" w:cs="方正小标宋简体"/>
          <w:i w:val="0"/>
          <w:iCs w:val="0"/>
          <w:caps w:val="0"/>
          <w:color w:val="000000" w:themeColor="text1"/>
          <w:spacing w:val="0"/>
          <w:sz w:val="43"/>
          <w:szCs w:val="43"/>
          <w:shd w:val="clear" w:fill="FFFFFF"/>
          <w:vertAlign w:val="baseline"/>
          <w14:textFill>
            <w14:solidFill>
              <w14:schemeClr w14:val="tx1"/>
            </w14:solidFill>
          </w14:textFill>
        </w:rPr>
        <w:t>重点人群健康体检信息化及辅助体检服务</w:t>
      </w:r>
      <w:r>
        <w:rPr>
          <w:rFonts w:hint="eastAsia" w:ascii="方正小标宋简体" w:hAnsi="方正小标宋简体" w:eastAsia="方正小标宋简体" w:cs="方正小标宋简体"/>
          <w:i w:val="0"/>
          <w:iCs w:val="0"/>
          <w:caps w:val="0"/>
          <w:color w:val="000000" w:themeColor="text1"/>
          <w:spacing w:val="0"/>
          <w:sz w:val="43"/>
          <w:szCs w:val="43"/>
          <w:vertAlign w:val="baseline"/>
          <w14:textFill>
            <w14:solidFill>
              <w14:schemeClr w14:val="tx1"/>
            </w14:solidFill>
          </w14:textFill>
        </w:rPr>
        <w:t>采购</w:t>
      </w:r>
      <w:r>
        <w:rPr>
          <w:rFonts w:ascii="方正小标宋简体" w:hAnsi="方正小标宋简体" w:eastAsia="方正小标宋简体" w:cs="方正小标宋简体"/>
          <w:i w:val="0"/>
          <w:iCs w:val="0"/>
          <w:caps w:val="0"/>
          <w:color w:val="000000" w:themeColor="text1"/>
          <w:spacing w:val="0"/>
          <w:sz w:val="43"/>
          <w:szCs w:val="43"/>
          <w:shd w:val="clear" w:fill="FFFFFF"/>
          <w:vertAlign w:val="baseline"/>
          <w14:textFill>
            <w14:solidFill>
              <w14:schemeClr w14:val="tx1"/>
            </w14:solidFill>
          </w14:textFill>
        </w:rPr>
        <w:t>项目</w:t>
      </w:r>
      <w:r>
        <w:rPr>
          <w:rFonts w:hint="eastAsia" w:ascii="方正小标宋简体" w:hAnsi="方正小标宋简体" w:eastAsia="方正小标宋简体" w:cs="方正小标宋简体"/>
          <w:i w:val="0"/>
          <w:iCs w:val="0"/>
          <w:caps w:val="0"/>
          <w:color w:val="000000" w:themeColor="text1"/>
          <w:spacing w:val="0"/>
          <w:sz w:val="43"/>
          <w:szCs w:val="43"/>
          <w:vertAlign w:val="baseline"/>
          <w14:textFill>
            <w14:solidFill>
              <w14:schemeClr w14:val="tx1"/>
            </w14:solidFill>
          </w14:textFill>
        </w:rPr>
        <w:t>市场调研报价表</w:t>
      </w:r>
    </w:p>
    <w:p w14:paraId="38F493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textAlignment w:val="baseline"/>
        <w:rPr>
          <w:rFonts w:hint="default" w:ascii="Arial" w:hAnsi="Arial" w:cs="Arial"/>
          <w:i w:val="0"/>
          <w:iCs w:val="0"/>
          <w:caps w:val="0"/>
          <w:color w:val="666666"/>
          <w:spacing w:val="0"/>
          <w:sz w:val="18"/>
          <w:szCs w:val="18"/>
        </w:rPr>
      </w:pPr>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915"/>
        <w:gridCol w:w="2863"/>
        <w:gridCol w:w="1322"/>
        <w:gridCol w:w="1695"/>
        <w:gridCol w:w="1695"/>
      </w:tblGrid>
      <w:tr w14:paraId="2A01F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trPr>
        <w:tc>
          <w:tcPr>
            <w:tcW w:w="9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2BBB1A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序号</w:t>
            </w:r>
          </w:p>
        </w:tc>
        <w:tc>
          <w:tcPr>
            <w:tcW w:w="286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4A03DE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项目名称</w:t>
            </w:r>
          </w:p>
        </w:tc>
        <w:tc>
          <w:tcPr>
            <w:tcW w:w="1322"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3476FE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单价</w:t>
            </w:r>
          </w:p>
        </w:tc>
        <w:tc>
          <w:tcPr>
            <w:tcW w:w="169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73DC70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人次</w:t>
            </w:r>
          </w:p>
        </w:tc>
        <w:tc>
          <w:tcPr>
            <w:tcW w:w="169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487200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总价</w:t>
            </w:r>
          </w:p>
        </w:tc>
      </w:tr>
      <w:tr w14:paraId="358A0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155" w:hRule="atLeast"/>
        </w:trPr>
        <w:tc>
          <w:tcPr>
            <w:tcW w:w="91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65D36D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1</w:t>
            </w:r>
          </w:p>
        </w:tc>
        <w:tc>
          <w:tcPr>
            <w:tcW w:w="2863"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1BF0D4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kern w:val="2"/>
                <w:sz w:val="32"/>
                <w:szCs w:val="32"/>
                <w:lang w:val="en-US" w:eastAsia="zh-CN" w:bidi="ar-SA"/>
              </w:rPr>
              <w:t>成都市青白江区弥牟镇公立中心卫生院重点人群健康体检信息化及辅助体检服务采购项目</w:t>
            </w:r>
          </w:p>
        </w:tc>
        <w:tc>
          <w:tcPr>
            <w:tcW w:w="1322"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7E7369B3">
            <w:pPr>
              <w:keepNext w:val="0"/>
              <w:keepLines w:val="0"/>
              <w:widowControl/>
              <w:suppressLineNumbers w:val="0"/>
              <w:spacing w:before="0" w:beforeAutospacing="0" w:after="0" w:afterAutospacing="0"/>
              <w:ind w:left="0" w:right="0"/>
              <w:jc w:val="left"/>
              <w:textAlignment w:val="baseline"/>
              <w:rPr>
                <w:rFonts w:hint="eastAsia" w:ascii="微软雅黑" w:hAnsi="微软雅黑" w:eastAsia="微软雅黑" w:cs="微软雅黑"/>
                <w:i w:val="0"/>
                <w:iCs w:val="0"/>
                <w:caps w:val="0"/>
                <w:color w:val="000000" w:themeColor="text1"/>
                <w:spacing w:val="0"/>
                <w:sz w:val="32"/>
                <w:szCs w:val="32"/>
                <w14:textFill>
                  <w14:solidFill>
                    <w14:schemeClr w14:val="tx1"/>
                  </w14:solidFill>
                </w14:textFill>
              </w:rPr>
            </w:pPr>
          </w:p>
        </w:tc>
        <w:tc>
          <w:tcPr>
            <w:tcW w:w="169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234240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p>
        </w:tc>
        <w:tc>
          <w:tcPr>
            <w:tcW w:w="169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18AD4B67">
            <w:pPr>
              <w:keepNext w:val="0"/>
              <w:keepLines w:val="0"/>
              <w:widowControl/>
              <w:suppressLineNumbers w:val="0"/>
              <w:spacing w:before="0" w:beforeAutospacing="0" w:after="0" w:afterAutospacing="0"/>
              <w:ind w:left="0" w:right="0"/>
              <w:jc w:val="left"/>
              <w:textAlignment w:val="baseline"/>
              <w:rPr>
                <w:rFonts w:hint="eastAsia" w:ascii="微软雅黑" w:hAnsi="微软雅黑" w:eastAsia="微软雅黑" w:cs="微软雅黑"/>
                <w:i w:val="0"/>
                <w:iCs w:val="0"/>
                <w:caps w:val="0"/>
                <w:color w:val="000000" w:themeColor="text1"/>
                <w:spacing w:val="0"/>
                <w:sz w:val="32"/>
                <w:szCs w:val="32"/>
                <w14:textFill>
                  <w14:solidFill>
                    <w14:schemeClr w14:val="tx1"/>
                  </w14:solidFill>
                </w14:textFill>
              </w:rPr>
            </w:pPr>
          </w:p>
        </w:tc>
      </w:tr>
      <w:tr w14:paraId="0A9CA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185" w:hRule="atLeast"/>
        </w:trPr>
        <w:tc>
          <w:tcPr>
            <w:tcW w:w="8490" w:type="dxa"/>
            <w:gridSpan w:val="5"/>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4513D8A1">
            <w:pPr>
              <w:spacing w:line="580" w:lineRule="exact"/>
              <w:ind w:firstLine="560" w:firstLineChars="200"/>
              <w:rPr>
                <w:rFonts w:hint="default" w:eastAsia="方正仿宋简体"/>
                <w:color w:val="000000" w:themeColor="text1"/>
                <w:sz w:val="32"/>
                <w:szCs w:val="32"/>
                <w:lang w:val="en-US" w:eastAsia="zh-CN"/>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28"/>
                <w:szCs w:val="28"/>
                <w:vertAlign w:val="baseline"/>
                <w14:textFill>
                  <w14:solidFill>
                    <w14:schemeClr w14:val="tx1"/>
                  </w14:solidFill>
                </w14:textFill>
              </w:rPr>
              <w:t>备注：报价应是最终用户验收合格后的总价，包括设备运输、保险、代理、安装调试、培训、税费、系统端口接入、场地改造费用等费用。</w:t>
            </w:r>
            <w:r>
              <w:rPr>
                <w:rFonts w:hint="eastAsia" w:ascii="方正仿宋简体" w:hAnsi="方正仿宋简体" w:eastAsia="方正仿宋简体" w:cs="方正仿宋简体"/>
                <w:sz w:val="30"/>
                <w:szCs w:val="30"/>
              </w:rPr>
              <w:t>医院</w:t>
            </w:r>
            <w:r>
              <w:rPr>
                <w:rFonts w:hint="eastAsia" w:ascii="方正仿宋简体" w:hAnsi="方正仿宋简体" w:eastAsia="方正仿宋简体" w:cs="方正仿宋简体"/>
                <w:sz w:val="30"/>
                <w:szCs w:val="30"/>
                <w:lang w:eastAsia="zh-CN"/>
              </w:rPr>
              <w:t>将</w:t>
            </w:r>
            <w:r>
              <w:rPr>
                <w:rFonts w:hint="eastAsia" w:ascii="方正仿宋简体" w:hAnsi="方正仿宋简体" w:eastAsia="方正仿宋简体" w:cs="方正仿宋简体"/>
                <w:sz w:val="30"/>
                <w:szCs w:val="30"/>
              </w:rPr>
              <w:t>根据最终上传合格总人数向成交供应商支付服务费。</w:t>
            </w:r>
          </w:p>
        </w:tc>
      </w:tr>
    </w:tbl>
    <w:p w14:paraId="119CC0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14:paraId="3A059E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14:paraId="3D29B2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报价单位：</w:t>
      </w:r>
    </w:p>
    <w:p w14:paraId="4493E2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联系方式：</w:t>
      </w:r>
    </w:p>
    <w:p w14:paraId="3A889C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时</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lang w:eastAsia="zh-CN"/>
        </w:rPr>
        <w:t>间：</w:t>
      </w:r>
    </w:p>
    <w:p w14:paraId="6E160F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14:paraId="5A3D11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14:paraId="43C496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14:paraId="2470CB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14:paraId="536C3C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黑体简体" w:hAnsi="方正黑体简体" w:eastAsia="方正黑体简体" w:cs="方正黑体简体"/>
          <w:i w:val="0"/>
          <w:iCs w:val="0"/>
          <w:caps w:val="0"/>
          <w:color w:val="000000" w:themeColor="text1"/>
          <w:spacing w:val="0"/>
          <w:sz w:val="18"/>
          <w:szCs w:val="18"/>
          <w14:textFill>
            <w14:solidFill>
              <w14:schemeClr w14:val="tx1"/>
            </w14:solidFill>
          </w14:textFill>
        </w:rPr>
      </w:pPr>
      <w:r>
        <w:rPr>
          <w:rFonts w:hint="eastAsia" w:ascii="方正黑体简体" w:hAnsi="方正黑体简体" w:eastAsia="方正黑体简体" w:cs="方正黑体简体"/>
          <w:i w:val="0"/>
          <w:iCs w:val="0"/>
          <w:caps w:val="0"/>
          <w:color w:val="000000" w:themeColor="text1"/>
          <w:spacing w:val="0"/>
          <w:sz w:val="31"/>
          <w:szCs w:val="31"/>
          <w:vertAlign w:val="baseline"/>
          <w14:textFill>
            <w14:solidFill>
              <w14:schemeClr w14:val="tx1"/>
            </w14:solidFill>
          </w14:textFill>
        </w:rPr>
        <w:t>附件</w:t>
      </w:r>
      <w:r>
        <w:rPr>
          <w:rFonts w:hint="eastAsia" w:ascii="方正黑体简体" w:hAnsi="方正黑体简体" w:eastAsia="方正黑体简体" w:cs="方正黑体简体"/>
          <w:i w:val="0"/>
          <w:iCs w:val="0"/>
          <w:caps w:val="0"/>
          <w:color w:val="000000" w:themeColor="text1"/>
          <w:spacing w:val="0"/>
          <w:sz w:val="31"/>
          <w:szCs w:val="31"/>
          <w:vertAlign w:val="baseline"/>
          <w:lang w:val="en-US" w:eastAsia="zh-CN"/>
          <w14:textFill>
            <w14:solidFill>
              <w14:schemeClr w14:val="tx1"/>
            </w14:solidFill>
          </w14:textFill>
        </w:rPr>
        <w:t>2</w:t>
      </w:r>
      <w:r>
        <w:rPr>
          <w:rFonts w:hint="eastAsia" w:ascii="方正黑体简体" w:hAnsi="方正黑体简体" w:eastAsia="方正黑体简体" w:cs="方正黑体简体"/>
          <w:i w:val="0"/>
          <w:iCs w:val="0"/>
          <w:caps w:val="0"/>
          <w:color w:val="000000" w:themeColor="text1"/>
          <w:spacing w:val="0"/>
          <w:sz w:val="31"/>
          <w:szCs w:val="31"/>
          <w:vertAlign w:val="baseline"/>
          <w14:textFill>
            <w14:solidFill>
              <w14:schemeClr w14:val="tx1"/>
            </w14:solidFill>
          </w14:textFill>
        </w:rPr>
        <w:t>：</w:t>
      </w:r>
    </w:p>
    <w:p w14:paraId="70FFB546">
      <w:pPr>
        <w:keepNext w:val="0"/>
        <w:keepLines w:val="0"/>
        <w:pageBreakBefore w:val="0"/>
        <w:widowControl w:val="0"/>
        <w:kinsoku/>
        <w:wordWrap/>
        <w:overflowPunct/>
        <w:topLinePunct w:val="0"/>
        <w:autoSpaceDE/>
        <w:autoSpaceDN/>
        <w:bidi w:val="0"/>
        <w:adjustRightInd/>
        <w:snapToGrid/>
        <w:spacing w:line="720" w:lineRule="exact"/>
        <w:jc w:val="both"/>
        <w:textAlignment w:val="auto"/>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p>
    <w:p w14:paraId="58EE3DBE">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成都市青白江区弥牟</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镇公立中心卫生院</w:t>
      </w:r>
    </w:p>
    <w:p w14:paraId="677DCDCD">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重点人群健康体检信息化及辅助体检服务</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技术参数</w:t>
      </w:r>
    </w:p>
    <w:p w14:paraId="2EE149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atLeast"/>
        <w:ind w:right="0"/>
        <w:jc w:val="both"/>
        <w:textAlignment w:val="baseline"/>
        <w:rPr>
          <w:rFonts w:ascii="方正黑体简体" w:hAnsi="方正黑体简体" w:eastAsia="方正黑体简体" w:cs="方正黑体简体"/>
          <w:i w:val="0"/>
          <w:iCs w:val="0"/>
          <w:caps w:val="0"/>
          <w:color w:val="000000" w:themeColor="text1"/>
          <w:spacing w:val="0"/>
          <w:sz w:val="31"/>
          <w:szCs w:val="31"/>
          <w:shd w:val="clear" w:fill="FFFFFF"/>
          <w:vertAlign w:val="baseline"/>
          <w14:textFill>
            <w14:solidFill>
              <w14:schemeClr w14:val="tx1"/>
            </w14:solidFill>
          </w14:textFill>
        </w:rPr>
      </w:pPr>
    </w:p>
    <w:p w14:paraId="65FFC7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ascii="方正黑体简体" w:hAnsi="方正黑体简体" w:eastAsia="方正黑体简体" w:cs="方正黑体简体"/>
          <w:i w:val="0"/>
          <w:iCs w:val="0"/>
          <w:caps w:val="0"/>
          <w:color w:val="000000" w:themeColor="text1"/>
          <w:spacing w:val="0"/>
          <w:sz w:val="31"/>
          <w:szCs w:val="31"/>
          <w:shd w:val="clear" w:fill="FFFFFF"/>
          <w:vertAlign w:val="baseline"/>
          <w14:textFill>
            <w14:solidFill>
              <w14:schemeClr w14:val="tx1"/>
            </w14:solidFill>
          </w14:textFill>
        </w:rPr>
        <w:t>一、车辆配置</w:t>
      </w:r>
    </w:p>
    <w:p w14:paraId="344A18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体检车</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至少</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2</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台</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eastAsia="zh-CN"/>
          <w14:textFill>
            <w14:solidFill>
              <w14:schemeClr w14:val="tx1"/>
            </w14:solidFill>
          </w14:textFill>
        </w:rPr>
        <w:t>（含一台</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DR移动车）</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，车辆长*宽*高≥长5米、宽2米、高2米，车上需配置空调。</w:t>
      </w:r>
    </w:p>
    <w:p w14:paraId="5167AE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黑体简体" w:hAnsi="方正黑体简体" w:eastAsia="方正黑体简体" w:cs="方正黑体简体"/>
          <w:i w:val="0"/>
          <w:iCs w:val="0"/>
          <w:caps w:val="0"/>
          <w:color w:val="000000" w:themeColor="text1"/>
          <w:spacing w:val="0"/>
          <w:sz w:val="31"/>
          <w:szCs w:val="31"/>
          <w:shd w:val="clear" w:fill="FFFFFF"/>
          <w:vertAlign w:val="baseline"/>
          <w14:textFill>
            <w14:solidFill>
              <w14:schemeClr w14:val="tx1"/>
            </w14:solidFill>
          </w14:textFill>
        </w:rPr>
        <w:t>二、需要配备以下用于开展体检的设施设备</w:t>
      </w:r>
    </w:p>
    <w:p w14:paraId="1F410C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（一）身份证阅读器1台：用于读取二代身份证，进行体检登记；</w:t>
      </w:r>
    </w:p>
    <w:p w14:paraId="56A66D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（二）热敏式条码打印机1台：用于打印受检者身份条形码；</w:t>
      </w:r>
    </w:p>
    <w:p w14:paraId="4DBF9A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（三）摄像头</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10</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台：用于各个岗位受检者人像采集；</w:t>
      </w:r>
    </w:p>
    <w:p w14:paraId="790EBBD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（四）条码扫码仪至少12个：用于链接</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各</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个岗位设备进行扫描检测；</w:t>
      </w:r>
    </w:p>
    <w:p w14:paraId="5BCCC3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（五）电子智能身高体重秤1台：用于检测受检者身高体重；</w:t>
      </w:r>
    </w:p>
    <w:p w14:paraId="70E054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（六）电子血压计4台：用于受检者血压检测；</w:t>
      </w:r>
    </w:p>
    <w:p w14:paraId="0966A7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（七）便携式B超机1台：用于受检者B超检测；</w:t>
      </w:r>
    </w:p>
    <w:p w14:paraId="4C8444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（八）</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十二通道</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数字心电图机1台：用于受检者心电检测；</w:t>
      </w:r>
    </w:p>
    <w:p w14:paraId="51EE5C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（九）无线模块组网1套：用于实现现场体检数据局域网内实时传输；</w:t>
      </w:r>
    </w:p>
    <w:p w14:paraId="355E9BA0">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leftChars="0" w:right="0" w:rightChars="0" w:firstLine="645" w:firstLineChars="0"/>
        <w:jc w:val="both"/>
        <w:textAlignment w:val="baseline"/>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kern w:val="0"/>
          <w:sz w:val="31"/>
          <w:szCs w:val="31"/>
          <w:shd w:val="clear" w:fill="FFFFFF"/>
          <w:vertAlign w:val="baseline"/>
          <w:lang w:val="en-US" w:eastAsia="zh-CN" w:bidi="ar-SA"/>
          <w14:textFill>
            <w14:solidFill>
              <w14:schemeClr w14:val="tx1"/>
            </w14:solidFill>
          </w14:textFill>
        </w:rPr>
        <w:t>（十）</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USB扩展坞10个：用于体检现场电脑端链接；</w:t>
      </w:r>
    </w:p>
    <w:p w14:paraId="68D355E6">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leftChars="0" w:right="0" w:rightChars="0" w:firstLine="645" w:firstLineChars="0"/>
        <w:jc w:val="both"/>
        <w:textAlignment w:val="baseline"/>
        <w:rPr>
          <w:rFonts w:hint="default"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kern w:val="0"/>
          <w:sz w:val="31"/>
          <w:szCs w:val="31"/>
          <w:shd w:val="clear" w:fill="FFFFFF"/>
          <w:vertAlign w:val="baseline"/>
          <w:lang w:val="en-US" w:eastAsia="zh-CN" w:bidi="ar-SA"/>
          <w14:textFill>
            <w14:solidFill>
              <w14:schemeClr w14:val="tx1"/>
            </w14:solidFill>
          </w14:textFill>
        </w:rPr>
        <w:t>（十一）</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登记工作站电脑</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2</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台：用于受检者体检登记；</w:t>
      </w:r>
    </w:p>
    <w:p w14:paraId="1B1BC0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（十</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eastAsia="zh-CN"/>
          <w14:textFill>
            <w14:solidFill>
              <w14:schemeClr w14:val="tx1"/>
            </w14:solidFill>
          </w14:textFill>
        </w:rPr>
        <w:t>二</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）各岗位工作电脑</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10</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台：用于各个岗位体检数据传输整合；</w:t>
      </w:r>
    </w:p>
    <w:p w14:paraId="48ED94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（十</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eastAsia="zh-CN"/>
          <w14:textFill>
            <w14:solidFill>
              <w14:schemeClr w14:val="tx1"/>
            </w14:solidFill>
          </w14:textFill>
        </w:rPr>
        <w:t>三</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）车载DR</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 xml:space="preserve"> </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1台：用于受检者胸部正位X线检测；</w:t>
      </w:r>
    </w:p>
    <w:p w14:paraId="4FDB40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（十</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eastAsia="zh-CN"/>
          <w14:textFill>
            <w14:solidFill>
              <w14:schemeClr w14:val="tx1"/>
            </w14:solidFill>
          </w14:textFill>
        </w:rPr>
        <w:t>四</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）同时需要配备齐全相关的插线板和体检所需要的工具，体检设备应该有备用，在特殊情况下保证10分钟内能启用。</w:t>
      </w:r>
    </w:p>
    <w:p w14:paraId="298996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黑体简体" w:hAnsi="方正黑体简体" w:eastAsia="方正黑体简体" w:cs="方正黑体简体"/>
          <w:i w:val="0"/>
          <w:iCs w:val="0"/>
          <w:caps w:val="0"/>
          <w:color w:val="000000" w:themeColor="text1"/>
          <w:spacing w:val="0"/>
          <w:sz w:val="31"/>
          <w:szCs w:val="31"/>
          <w:shd w:val="clear" w:fill="FFFFFF"/>
          <w:vertAlign w:val="baseline"/>
          <w14:textFill>
            <w14:solidFill>
              <w14:schemeClr w14:val="tx1"/>
            </w14:solidFill>
          </w14:textFill>
        </w:rPr>
        <w:t>三、公卫体检系统要求</w:t>
      </w:r>
    </w:p>
    <w:p w14:paraId="241E06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highlight w:val="none"/>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14:textFill>
            <w14:solidFill>
              <w14:schemeClr w14:val="tx1"/>
            </w14:solidFill>
          </w14:textFill>
        </w:rPr>
        <w:t>（一）公卫体检系统产生的数据符合国家基本公共卫生服务规范2017年第三版要求</w:t>
      </w: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lang w:eastAsia="zh-CN"/>
          <w14:textFill>
            <w14:solidFill>
              <w14:schemeClr w14:val="tx1"/>
            </w14:solidFill>
          </w14:textFill>
        </w:rPr>
        <w:t>（如国家有更新版本，按最新要求执行），按</w:t>
      </w: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lang w:val="en-US" w:eastAsia="zh-CN"/>
          <w14:textFill>
            <w14:solidFill>
              <w14:schemeClr w14:val="tx1"/>
            </w14:solidFill>
          </w14:textFill>
        </w:rPr>
        <w:t>青白江区卫健局要求对接四川省健康档案云平台和智业平台，并将相关数据全量上传至省健康档案云服务平台和智业平台，并确保数据完整性、准确性及格式合规性等</w:t>
      </w: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14:textFill>
            <w14:solidFill>
              <w14:schemeClr w14:val="tx1"/>
            </w14:solidFill>
          </w14:textFill>
        </w:rPr>
        <w:t>。</w:t>
      </w:r>
    </w:p>
    <w:p w14:paraId="627C8E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（二）公卫体检系统可对接实验室生化、血常规、尿机、身高体重秤、血压计、心电图、B超、DR等设备。</w:t>
      </w:r>
    </w:p>
    <w:p w14:paraId="2F4AB9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（三）公卫体检系统可支持院内体检及下乡体检，在断网情况下也可正常开展体检。</w:t>
      </w:r>
    </w:p>
    <w:p w14:paraId="0E00D4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（四）公卫体检系统后台管理系统可满足个人基本信息表、健康评价及指导填写。</w:t>
      </w:r>
    </w:p>
    <w:p w14:paraId="0EFCE4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（五）公卫体检系统后台管理系统支持体检报告及档案单份打印及批量打印，供应商需提供审核无误后的彩打体检报告纸质档</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人均</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一份。</w:t>
      </w:r>
    </w:p>
    <w:p w14:paraId="657EA0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highlight w:val="none"/>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14:textFill>
            <w14:solidFill>
              <w14:schemeClr w14:val="tx1"/>
            </w14:solidFill>
          </w14:textFill>
        </w:rPr>
        <w:t>（六）自动导出当日体检信息登记表</w:t>
      </w: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lang w:eastAsia="zh-CN"/>
          <w14:textFill>
            <w14:solidFill>
              <w14:schemeClr w14:val="tx1"/>
            </w14:solidFill>
          </w14:textFill>
        </w:rPr>
        <w:t>（</w:t>
      </w: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lang w:val="en-US" w:eastAsia="zh-CN"/>
          <w14:textFill>
            <w14:solidFill>
              <w14:schemeClr w14:val="tx1"/>
            </w14:solidFill>
          </w14:textFill>
        </w:rPr>
        <w:t>按人群类型分类</w:t>
      </w: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lang w:eastAsia="zh-CN"/>
          <w14:textFill>
            <w14:solidFill>
              <w14:schemeClr w14:val="tx1"/>
            </w14:solidFill>
          </w14:textFill>
        </w:rPr>
        <w:t>）</w:t>
      </w: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14:textFill>
            <w14:solidFill>
              <w14:schemeClr w14:val="tx1"/>
            </w14:solidFill>
          </w14:textFill>
        </w:rPr>
        <w:t>、体检项目缺项表。</w:t>
      </w:r>
    </w:p>
    <w:p w14:paraId="1A2631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（七）软件整合公卫老年人体检、慢性病人群体检内容及项目为一体。</w:t>
      </w:r>
    </w:p>
    <w:p w14:paraId="236BC3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eastAsia" w:ascii="Arial" w:hAnsi="Arial" w:eastAsia="方正仿宋简体" w:cs="Arial"/>
          <w:i w:val="0"/>
          <w:iCs w:val="0"/>
          <w:caps w:val="0"/>
          <w:color w:val="000000" w:themeColor="text1"/>
          <w:spacing w:val="0"/>
          <w:sz w:val="18"/>
          <w:szCs w:val="18"/>
          <w:highlight w:val="none"/>
          <w:lang w:eastAsia="zh-CN"/>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14:textFill>
            <w14:solidFill>
              <w14:schemeClr w14:val="tx1"/>
            </w14:solidFill>
          </w14:textFill>
        </w:rPr>
        <w:t>（八）与医疗端系统真正实施互联互通、信息共享</w:t>
      </w: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lang w:eastAsia="zh-CN"/>
          <w14:textFill>
            <w14:solidFill>
              <w14:schemeClr w14:val="tx1"/>
            </w14:solidFill>
          </w14:textFill>
        </w:rPr>
        <w:t>，解决四川省云平台、智业系统、实验室系统、影像系统接口问题。</w:t>
      </w:r>
    </w:p>
    <w:p w14:paraId="3E63519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（九）数据分析能够根据村组、年龄、疾病谱、控制率等不同需求进行不同抓取并且获得分析报告。</w:t>
      </w:r>
    </w:p>
    <w:p w14:paraId="7512A8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（十）体检异常数据预警功能、体检危急值紧急提示和后期追踪功能。</w:t>
      </w:r>
    </w:p>
    <w:p w14:paraId="2134C25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val="en-US" w:eastAsia="zh-CN"/>
          <w14:textFill>
            <w14:solidFill>
              <w14:schemeClr w14:val="tx1"/>
            </w14:solidFill>
          </w14:textFill>
        </w:rPr>
      </w:pP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val="en-US" w:eastAsia="zh-CN"/>
          <w14:textFill>
            <w14:solidFill>
              <w14:schemeClr w14:val="tx1"/>
            </w14:solidFill>
          </w14:textFill>
        </w:rPr>
        <w:t>（十一）医生端可以实现病人就诊次数提示、传染病报卡提示，各医生或团队签约管理人数查询，费用查询。</w:t>
      </w:r>
    </w:p>
    <w:p w14:paraId="42BEBD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pP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val="en-US" w:eastAsia="zh-CN"/>
          <w14:textFill>
            <w14:solidFill>
              <w14:schemeClr w14:val="tx1"/>
            </w14:solidFill>
          </w14:textFill>
        </w:rPr>
        <w:t>（十二）家庭医生签约线上技术服务：可支持采集居民签名，并按照采购人需求在体检报告上自动生成家庭医生纸质签约报告。（提供系统截图佐证材料）</w:t>
      </w:r>
    </w:p>
    <w:p w14:paraId="5D61B2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黑体简体" w:hAnsi="方正黑体简体" w:eastAsia="方正黑体简体" w:cs="方正黑体简体"/>
          <w:i w:val="0"/>
          <w:iCs w:val="0"/>
          <w:caps w:val="0"/>
          <w:color w:val="000000" w:themeColor="text1"/>
          <w:spacing w:val="0"/>
          <w:sz w:val="31"/>
          <w:szCs w:val="31"/>
          <w:shd w:val="clear" w:fill="FFFFFF"/>
          <w:vertAlign w:val="baseline"/>
          <w14:textFill>
            <w14:solidFill>
              <w14:schemeClr w14:val="tx1"/>
            </w14:solidFill>
          </w14:textFill>
        </w:rPr>
        <w:t>四、其他要求</w:t>
      </w:r>
    </w:p>
    <w:p w14:paraId="517B86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（一）成交供应商提供信息化技术服务人员，进行数据维护及异常数据处理。</w:t>
      </w:r>
    </w:p>
    <w:p w14:paraId="3D099A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eastAsia="zh-CN"/>
          <w14:textFill>
            <w14:solidFill>
              <w14:schemeClr w14:val="tx1"/>
            </w14:solidFill>
          </w14:textFill>
        </w:rPr>
      </w:pP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val="en-US" w:eastAsia="zh-CN"/>
          <w14:textFill>
            <w14:solidFill>
              <w14:schemeClr w14:val="tx1"/>
            </w14:solidFill>
          </w14:textFill>
        </w:rPr>
        <w:t>（二）</w:t>
      </w: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14:textFill>
            <w14:solidFill>
              <w14:schemeClr w14:val="tx1"/>
            </w14:solidFill>
          </w14:textFill>
        </w:rPr>
        <w:t>成交供应商</w:t>
      </w: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val="en-US" w:eastAsia="zh-CN"/>
          <w14:textFill>
            <w14:solidFill>
              <w14:schemeClr w14:val="tx1"/>
            </w14:solidFill>
          </w14:textFill>
        </w:rPr>
        <w:t>提供B超工作人员1名，并</w:t>
      </w: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14:textFill>
            <w14:solidFill>
              <w14:schemeClr w14:val="tx1"/>
            </w14:solidFill>
          </w14:textFill>
        </w:rPr>
        <w:t>具备影像医学专业执业医师证书（提供证书复印件并加盖供应商电子公章）。</w:t>
      </w:r>
    </w:p>
    <w:p w14:paraId="683DB2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方正仿宋简体" w:hAnsi="方正仿宋简体" w:eastAsia="方正仿宋简体" w:cs="方正仿宋简体"/>
          <w:i w:val="0"/>
          <w:caps w:val="0"/>
          <w:color w:val="000000" w:themeColor="text1"/>
          <w:spacing w:val="0"/>
          <w:sz w:val="32"/>
          <w:szCs w:val="32"/>
          <w:highlight w:val="yellow"/>
          <w:shd w:val="clear" w:color="auto" w:fill="FFFFFF"/>
          <w:lang w:val="en-US" w:eastAsia="zh-CN"/>
          <w14:textFill>
            <w14:solidFill>
              <w14:schemeClr w14:val="tx1"/>
            </w14:solidFill>
          </w14:textFill>
        </w:rPr>
      </w:pP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eastAsia="zh-CN"/>
          <w14:textFill>
            <w14:solidFill>
              <w14:schemeClr w14:val="tx1"/>
            </w14:solidFill>
          </w14:textFill>
        </w:rPr>
        <w:t>（</w:t>
      </w: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val="en-US" w:eastAsia="zh-CN"/>
          <w14:textFill>
            <w14:solidFill>
              <w14:schemeClr w14:val="tx1"/>
            </w14:solidFill>
          </w14:textFill>
        </w:rPr>
        <w:t>三</w:t>
      </w: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eastAsia="zh-CN"/>
          <w14:textFill>
            <w14:solidFill>
              <w14:schemeClr w14:val="tx1"/>
            </w14:solidFill>
          </w14:textFill>
        </w:rPr>
        <w:t>）</w:t>
      </w: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val="en-US" w:eastAsia="zh-CN"/>
          <w14:textFill>
            <w14:solidFill>
              <w14:schemeClr w14:val="tx1"/>
            </w14:solidFill>
          </w14:textFill>
        </w:rPr>
        <w:t>成交供应商提供血常规、尿常规、肝功、肾功、血脂、糖化血红蛋白等检验检测工作人员1名，并</w:t>
      </w: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14:textFill>
            <w14:solidFill>
              <w14:schemeClr w14:val="tx1"/>
            </w14:solidFill>
          </w14:textFill>
        </w:rPr>
        <w:t>具备</w:t>
      </w: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val="en-US" w:eastAsia="zh-CN"/>
          <w14:textFill>
            <w14:solidFill>
              <w14:schemeClr w14:val="tx1"/>
            </w14:solidFill>
          </w14:textFill>
        </w:rPr>
        <w:t>医学检验相关资格</w:t>
      </w: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14:textFill>
            <w14:solidFill>
              <w14:schemeClr w14:val="tx1"/>
            </w14:solidFill>
          </w14:textFill>
        </w:rPr>
        <w:t>证书（提供证书复印件并加盖供应商电子公章）。</w:t>
      </w:r>
    </w:p>
    <w:p w14:paraId="1A91FF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val="en-US" w:eastAsia="zh-CN"/>
          <w14:textFill>
            <w14:solidFill>
              <w14:schemeClr w14:val="tx1"/>
            </w14:solidFill>
          </w14:textFill>
        </w:rPr>
      </w:pP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val="en-US" w:eastAsia="zh-CN"/>
          <w14:textFill>
            <w14:solidFill>
              <w14:schemeClr w14:val="tx1"/>
            </w14:solidFill>
          </w14:textFill>
        </w:rPr>
        <w:t>（四）成交供应商提供检验检查相关存储设施设备，人员完成抽血后按照标准进行存放，专人搜集标本，在标准实验室或同等级别的试验地点完成血常规、血生化、空腹血糖及糖化血红蛋白等检验检查，并提供体检服务合格合规所有试剂耗材。</w:t>
      </w:r>
    </w:p>
    <w:p w14:paraId="344C39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eastAsia="zh-CN"/>
          <w14:textFill>
            <w14:solidFill>
              <w14:schemeClr w14:val="tx1"/>
            </w14:solidFill>
          </w14:textFill>
        </w:rPr>
      </w:pP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14:textFill>
            <w14:solidFill>
              <w14:schemeClr w14:val="tx1"/>
            </w14:solidFill>
          </w14:textFill>
        </w:rPr>
        <w:t>（</w:t>
      </w: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eastAsia="zh-CN"/>
          <w14:textFill>
            <w14:solidFill>
              <w14:schemeClr w14:val="tx1"/>
            </w14:solidFill>
          </w14:textFill>
        </w:rPr>
        <w:t>五</w:t>
      </w: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14:textFill>
            <w14:solidFill>
              <w14:schemeClr w14:val="tx1"/>
            </w14:solidFill>
          </w14:textFill>
        </w:rPr>
        <w:t>）</w:t>
      </w: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val="en-US" w:eastAsia="zh-CN"/>
          <w14:textFill>
            <w14:solidFill>
              <w14:schemeClr w14:val="tx1"/>
            </w14:solidFill>
          </w14:textFill>
        </w:rPr>
        <w:t>所有的体检设备均要求校验，且在有效范围内，问诊、个人基本信息、身高体重、B超模块可以提取往年历史数据，杜绝体检结果值的偏差。</w:t>
      </w:r>
    </w:p>
    <w:p w14:paraId="4F4BBB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黑体简体" w:hAnsi="方正黑体简体" w:eastAsia="方正黑体简体" w:cs="方正黑体简体"/>
          <w:i w:val="0"/>
          <w:iCs w:val="0"/>
          <w:caps w:val="0"/>
          <w:color w:val="000000" w:themeColor="text1"/>
          <w:spacing w:val="0"/>
          <w:sz w:val="31"/>
          <w:szCs w:val="31"/>
          <w:shd w:val="clear" w:fill="FFFFFF"/>
          <w:vertAlign w:val="baseline"/>
          <w14:textFill>
            <w14:solidFill>
              <w14:schemeClr w14:val="tx1"/>
            </w14:solidFill>
          </w14:textFill>
        </w:rPr>
        <w:t>五、智能信息化公卫体检管理系统模块及功能要求</w:t>
      </w:r>
    </w:p>
    <w:p w14:paraId="64D9EF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highlight w:val="yellow"/>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一）数据采集模块：具备体检人员登记功能、利用二代身份证读卡器识别人员信息，并可对人员信息进行添加、删除、修改、打印条码等操作；登记处自动打印检验条码，查体过程中可以扫描检验项目条码，并在查体报告中呈现。通过与LIS接口，系统可自动导入检验结果，且结果准确，无空项漏项错项，并根据检验结果产生与之匹配的诊断结论和指导意见。系统支持各个岗位录影录像或者拍照留取头像功能，影、像数据</w:t>
      </w: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14:textFill>
            <w14:solidFill>
              <w14:schemeClr w14:val="tx1"/>
            </w14:solidFill>
          </w14:textFill>
        </w:rPr>
        <w:t>均需提供保存功能。同时支持展示上一年度历史数据，偏离值异常的数据能够预警提示。</w:t>
      </w:r>
    </w:p>
    <w:p w14:paraId="17B7D6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（二）体检流程模块：软件工作流程</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需</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将人员登记、抽血、体格检查、尿液分析、生化分析、B超、心电、问询</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eastAsia="zh-CN"/>
          <w14:textFill>
            <w14:solidFill>
              <w14:schemeClr w14:val="tx1"/>
            </w14:solidFill>
          </w14:textFill>
        </w:rPr>
        <w:t>、</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中医</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等现场体检工作区分开来。</w:t>
      </w:r>
    </w:p>
    <w:p w14:paraId="3CB5A9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（三）身高体重血压采集模块：采用智能终端机采集人员身高、体重、血压，结果数据同步传输到管理系统中确保数据不会丢失，并可自动传输数值至中医体质问询系统，支持信息实时上传，支持条形码扫码。</w:t>
      </w:r>
    </w:p>
    <w:p w14:paraId="59D0AC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highlight w:val="none"/>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14:textFill>
            <w14:solidFill>
              <w14:schemeClr w14:val="tx1"/>
            </w14:solidFill>
          </w14:textFill>
        </w:rPr>
        <w:t>（四）心电图、B超、DR采集模块：人员完成心电图或者B超或者DR检查后，系统可通过局域网/U盘提取传输等方式采集数据，</w:t>
      </w: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lang w:eastAsia="zh-CN"/>
          <w14:textFill>
            <w14:solidFill>
              <w14:schemeClr w14:val="tx1"/>
            </w14:solidFill>
          </w14:textFill>
        </w:rPr>
        <w:t>同时</w:t>
      </w: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14:textFill>
            <w14:solidFill>
              <w14:schemeClr w14:val="tx1"/>
            </w14:solidFill>
          </w14:textFill>
        </w:rPr>
        <w:t>具备人工导入功能模块，图片上传健康档案。</w:t>
      </w:r>
    </w:p>
    <w:p w14:paraId="284787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eastAsia="zh-CN"/>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五）问询模块：支持用户采集体检人员问询数据，包括症状、一般状况、生活方式、脏器功能、查体、辅助检查、现存主要健康问题、住院治疗情况、主要用药情况、非免疫规划预防接种史，同时支持展示上一年度历史数据</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eastAsia="zh-CN"/>
          <w14:textFill>
            <w14:solidFill>
              <w14:schemeClr w14:val="tx1"/>
            </w14:solidFill>
          </w14:textFill>
        </w:rPr>
        <w:t>。</w:t>
      </w:r>
    </w:p>
    <w:p w14:paraId="65E782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eastAsia="zh-CN"/>
          <w14:textFill>
            <w14:solidFill>
              <w14:schemeClr w14:val="tx1"/>
            </w14:solidFill>
          </w14:textFill>
        </w:rPr>
        <w:t>（</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六</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eastAsia="zh-CN"/>
          <w14:textFill>
            <w14:solidFill>
              <w14:schemeClr w14:val="tx1"/>
            </w14:solidFill>
          </w14:textFill>
        </w:rPr>
        <w:t>）</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中医模块</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eastAsia="zh-CN"/>
          <w14:textFill>
            <w14:solidFill>
              <w14:schemeClr w14:val="tx1"/>
            </w14:solidFill>
          </w14:textFill>
        </w:rPr>
        <w:t>：</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系统可通过中医体质辨识问题的问询自动计算总分，并可自动判断产生对应的中医体质及慢病患者干预</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eastAsia="zh-CN"/>
          <w14:textFill>
            <w14:solidFill>
              <w14:schemeClr w14:val="tx1"/>
            </w14:solidFill>
          </w14:textFill>
        </w:rPr>
        <w:t>，</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慢病中医干预中的体质与中医体质辨识结果相符</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w:t>
      </w:r>
    </w:p>
    <w:p w14:paraId="2EC783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七</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）血常规、血生化及空腹血糖模块：人员完成抽血后</w:t>
      </w: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14:textFill>
            <w14:solidFill>
              <w14:schemeClr w14:val="tx1"/>
            </w14:solidFill>
          </w14:textFill>
        </w:rPr>
        <w:t>提供相关存储设施设备，按照标准进行存放，专人搜集标本，在标准实验室或同等级别的试验地点做检查，系统可通过局域</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网/U盘提取传输等方式来采集结果数据，具备人工导入功能模块。</w:t>
      </w:r>
    </w:p>
    <w:p w14:paraId="069030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黑体简体" w:hAnsi="方正黑体简体" w:eastAsia="方正黑体简体" w:cs="方正黑体简体"/>
          <w:i w:val="0"/>
          <w:iCs w:val="0"/>
          <w:caps w:val="0"/>
          <w:color w:val="000000" w:themeColor="text1"/>
          <w:spacing w:val="0"/>
          <w:sz w:val="31"/>
          <w:szCs w:val="31"/>
          <w:shd w:val="clear" w:fill="FFFFFF"/>
          <w:vertAlign w:val="baseline"/>
          <w14:textFill>
            <w14:solidFill>
              <w14:schemeClr w14:val="tx1"/>
            </w14:solidFill>
          </w14:textFill>
        </w:rPr>
        <w:t>六、软件系统及其他要求</w:t>
      </w:r>
    </w:p>
    <w:p w14:paraId="1A1B24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一）数据分析功能：可生成和打印数据统计报表，数据统计报表应对应相关检测类别，并带有形状图表。系统实现自动智能分析异常的健康检查数据，包括异常心电图、异常血压、血糖、尿常规等体检数据，并可生成异常数据的相关建议报告。系统支持打印第三版公卫体检表及体检反馈单样表。</w:t>
      </w:r>
    </w:p>
    <w:p w14:paraId="5DF8E7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（二）系统统计分析部分，可以根据用户体检出来的数据情况，按卫生院进行体检人员本年度数据整体进行分析形成报告，并且可以根据实际需要进行修改。在体检结束后的</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7</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个工作日内形成完整的重点人群（老年人、高血压、糖尿病</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eastAsia="zh-CN"/>
          <w14:textFill>
            <w14:solidFill>
              <w14:schemeClr w14:val="tx1"/>
            </w14:solidFill>
          </w14:textFill>
        </w:rPr>
        <w:t>、</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慢阻肺</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患者）当年度体检分析报告。</w:t>
      </w:r>
    </w:p>
    <w:p w14:paraId="29CA9D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（三）系统具有数据缺项筛选功能，可根据管理账户授权</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5个工作日内</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进行复核修正。</w:t>
      </w:r>
    </w:p>
    <w:p w14:paraId="45C951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（四）采集模块完成后，针对每一个体检人员出具纸质体检报告，根据体检报告的具体内容，智能分析，并针对每个体检人员给出适宜的体检建议。报告格式符合青白江区</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eastAsia="zh-CN"/>
          <w14:textFill>
            <w14:solidFill>
              <w14:schemeClr w14:val="tx1"/>
            </w14:solidFill>
          </w14:textFill>
        </w:rPr>
        <w:t>卫健局</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要求。</w:t>
      </w:r>
    </w:p>
    <w:p w14:paraId="02E687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（五）系统支持导出电子体检报告，至少包含WORD、PDF等格式的体检报告。</w:t>
      </w:r>
    </w:p>
    <w:p w14:paraId="087365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highlight w:val="none"/>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14:textFill>
            <w14:solidFill>
              <w14:schemeClr w14:val="tx1"/>
            </w14:solidFill>
          </w14:textFill>
        </w:rPr>
        <w:t>（六）体检报告可通过接口传输至平台管理端，支持体检居民可通过微信公众号查询体检报告。</w:t>
      </w:r>
    </w:p>
    <w:p w14:paraId="71AE8C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（七）可视化平台：实时动态显示登记人数、体检人数，并以图形的方式展现按年龄/人群分类等统计结果（如饼形图、柱状图），供采购人查看以提供决策依据。</w:t>
      </w:r>
    </w:p>
    <w:p w14:paraId="3695D5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（八）管理模块：授权码设置，按照人数进行授权管理；系统可以设置并可自定义硬件技术要求，以便后期用户更换硬件型号或品牌能够继续使用本系统。</w:t>
      </w:r>
    </w:p>
    <w:p w14:paraId="2476FE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（九）软件离线状态下可进行体检操作，并能自动保存至少</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lang w:val="en-US" w:eastAsia="zh-CN"/>
          <w14:textFill>
            <w14:solidFill>
              <w14:schemeClr w14:val="tx1"/>
            </w14:solidFill>
          </w14:textFill>
        </w:rPr>
        <w:t>12000</w:t>
      </w: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人次以上的检查数据，体检结束后原始数据拷贝到医院电脑或者硬盘保存。在联网状态下由终端软件进行交互后实现数据自动上传到管理端平台，院方可以从管理端平台实时下载调用数据。</w:t>
      </w:r>
    </w:p>
    <w:p w14:paraId="267635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ascii="Arial" w:hAnsi="Arial" w:cs="Arial"/>
          <w:i w:val="0"/>
          <w:iCs w:val="0"/>
          <w:caps w:val="0"/>
          <w:color w:val="000000" w:themeColor="text1"/>
          <w:spacing w:val="0"/>
          <w:sz w:val="18"/>
          <w:szCs w:val="18"/>
          <w:highlight w:val="none"/>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14:textFill>
            <w14:solidFill>
              <w14:schemeClr w14:val="tx1"/>
            </w14:solidFill>
          </w14:textFill>
        </w:rPr>
        <w:t>（十）现场数据对比功能：系统支持在体检现场对同一个人上一年度的体检结果进行对比，当对比数据符合逻辑，满足《国家基本公共卫生服务规范》（第三版）要求</w:t>
      </w: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lang w:eastAsia="zh-CN"/>
          <w14:textFill>
            <w14:solidFill>
              <w14:schemeClr w14:val="tx1"/>
            </w14:solidFill>
          </w14:textFill>
        </w:rPr>
        <w:t>（如国家有更新版本，按最新要求执行）</w:t>
      </w:r>
      <w:r>
        <w:rPr>
          <w:rFonts w:hint="eastAsia" w:ascii="方正仿宋简体" w:hAnsi="方正仿宋简体" w:eastAsia="方正仿宋简体" w:cs="方正仿宋简体"/>
          <w:i w:val="0"/>
          <w:iCs w:val="0"/>
          <w:caps w:val="0"/>
          <w:color w:val="000000" w:themeColor="text1"/>
          <w:spacing w:val="0"/>
          <w:sz w:val="31"/>
          <w:szCs w:val="31"/>
          <w:highlight w:val="none"/>
          <w:shd w:val="clear" w:fill="FFFFFF"/>
          <w:vertAlign w:val="baseline"/>
          <w14:textFill>
            <w14:solidFill>
              <w14:schemeClr w14:val="tx1"/>
            </w14:solidFill>
          </w14:textFill>
        </w:rPr>
        <w:t>，系统才能进行下一步操作。</w:t>
      </w:r>
    </w:p>
    <w:p w14:paraId="3B6C4E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1"/>
          <w:szCs w:val="31"/>
          <w:shd w:val="clear" w:fill="FFFFFF"/>
          <w:vertAlign w:val="baseline"/>
          <w14:textFill>
            <w14:solidFill>
              <w14:schemeClr w14:val="tx1"/>
            </w14:solidFill>
          </w14:textFill>
        </w:rPr>
        <w:t>（十一）能够与青白江区使用的公卫系统互联互通，并且支持点对点数据上传和点对点数据撤回，上传数据无缺项漏项错项。</w:t>
      </w:r>
    </w:p>
    <w:p w14:paraId="7325A9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val="en-US" w:eastAsia="zh-CN"/>
          <w14:textFill>
            <w14:solidFill>
              <w14:schemeClr w14:val="tx1"/>
            </w14:solidFill>
          </w14:textFill>
        </w:rPr>
      </w:pP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val="en-US" w:eastAsia="zh-CN"/>
          <w14:textFill>
            <w14:solidFill>
              <w14:schemeClr w14:val="tx1"/>
            </w14:solidFill>
          </w14:textFill>
        </w:rPr>
        <w:t>（十二）为保证服务过程的信息安全，要求服务商与采购人在中标后签订保密协议（提供承诺函原件并加盖供应商鲜章）。</w:t>
      </w:r>
    </w:p>
    <w:p w14:paraId="1F7128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val="en-US" w:eastAsia="zh-CN"/>
          <w14:textFill>
            <w14:solidFill>
              <w14:schemeClr w14:val="tx1"/>
            </w14:solidFill>
          </w14:textFill>
        </w:rPr>
      </w:pP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val="en-US" w:eastAsia="zh-CN"/>
          <w14:textFill>
            <w14:solidFill>
              <w14:schemeClr w14:val="tx1"/>
            </w14:solidFill>
          </w14:textFill>
        </w:rPr>
        <w:t>（十三）微信端提供以天/村为单位推送给家庭医生体检概况名单，名单信息需包含体检人群分布、慢病人群服药率统计、体检人群异常值、危急值详情及名单。</w:t>
      </w:r>
    </w:p>
    <w:p w14:paraId="484397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方正仿宋简体" w:hAnsi="方正仿宋简体" w:eastAsia="方正仿宋简体" w:cs="方正仿宋简体"/>
          <w:i w:val="0"/>
          <w:caps w:val="0"/>
          <w:color w:val="000000" w:themeColor="text1"/>
          <w:spacing w:val="0"/>
          <w:sz w:val="32"/>
          <w:szCs w:val="32"/>
          <w:highlight w:val="none"/>
          <w:shd w:val="clear" w:color="auto" w:fill="FFFFFF"/>
          <w:lang w:val="en-US" w:eastAsia="zh-CN"/>
          <w14:textFill>
            <w14:solidFill>
              <w14:schemeClr w14:val="tx1"/>
            </w14:solidFill>
          </w14:textFill>
        </w:rPr>
      </w:pPr>
      <w:r>
        <w:rPr>
          <w:rFonts w:hint="eastAsia" w:ascii="方正仿宋简体" w:hAnsi="方正仿宋简体" w:eastAsia="方正仿宋简体" w:cs="方正仿宋简体"/>
          <w:i w:val="0"/>
          <w:caps w:val="0"/>
          <w:color w:val="000000" w:themeColor="text1"/>
          <w:spacing w:val="0"/>
          <w:sz w:val="32"/>
          <w:szCs w:val="32"/>
          <w:highlight w:val="none"/>
          <w:shd w:val="clear" w:color="auto" w:fill="FFFFFF"/>
          <w:lang w:val="en-US" w:eastAsia="zh-CN"/>
          <w14:textFill>
            <w14:solidFill>
              <w14:schemeClr w14:val="tx1"/>
            </w14:solidFill>
          </w14:textFill>
        </w:rPr>
        <w:t>（十四）提供检后健康管理后台管理系统，从BMI异常、口腔异常、视力异常、血常规异常及危急值、血生化异常值及危急值、心电图异常、B超结论异常等多维度进行统计导出功能，用于各临床科室导流患者。</w:t>
      </w:r>
    </w:p>
    <w:p w14:paraId="285C3998">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2B02CC"/>
    <w:rsid w:val="272B02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qFormat/>
    <w:uiPriority w:val="0"/>
    <w:pPr>
      <w:widowControl w:val="0"/>
      <w:spacing w:before="0" w:beforeAutospacing="1" w:after="0" w:afterAutospacing="1"/>
      <w:ind w:left="0" w:right="0"/>
      <w:jc w:val="left"/>
    </w:pPr>
    <w:rPr>
      <w:rFonts w:asciiTheme="minorHAnsi" w:hAnsiTheme="minorHAnsi" w:eastAsiaTheme="minorEastAsia" w:cstheme="minorBidi"/>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2026-01-09T08:45:00Z</dcterms:created>
  <dc:creator>取个名字很麻烦</dc:creator>
  <cp:lastModifiedBy>取个名字很麻烦</cp:lastModifiedBy>
  <dcterms:modified xsi:type="dcterms:W3CDTF">2026-01-09T08:46:14Z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ADDF6AA720D34BF5A608810366E494FF_11</vt:lpwstr>
  </property>
  <property fmtid="{D5CDD505-2E9C-101B-9397-08002B2CF9AE}" pid="4" name="KSOTemplateDocerSaveRecord">
    <vt:lpwstr>eyJoZGlkIjoiOTU5NmE1ZjM2ZDMxNzZjOWUwYzNjMGMzMTY5ZmE4MmIiLCJ1c2VySWQiOiIzMTM5MTY0NzcifQ==</vt:lpwstr>
  </property>
</Properties>
</file>