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38B22">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附件：</w:t>
      </w:r>
    </w:p>
    <w:p w14:paraId="0B06713E">
      <w:pPr>
        <w:pStyle w:val="2"/>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lang w:val="en-US" w:eastAsia="zh-CN"/>
        </w:rPr>
      </w:pPr>
    </w:p>
    <w:p w14:paraId="1B28D9A0">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color w:val="auto"/>
          <w:kern w:val="0"/>
          <w:sz w:val="44"/>
          <w:szCs w:val="44"/>
          <w:lang w:val="en-US" w:eastAsia="zh-CN" w:bidi="ar"/>
        </w:rPr>
        <w:t>体检管理系统项目方案</w:t>
      </w:r>
    </w:p>
    <w:p w14:paraId="74B70333">
      <w:pPr>
        <w:keepNext w:val="0"/>
        <w:keepLines w:val="0"/>
        <w:pageBreakBefore w:val="0"/>
        <w:widowControl w:val="0"/>
        <w:kinsoku/>
        <w:wordWrap/>
        <w:overflowPunct/>
        <w:topLinePunct w:val="0"/>
        <w:autoSpaceDE/>
        <w:autoSpaceDN/>
        <w:bidi w:val="0"/>
        <w:adjustRightInd/>
        <w:snapToGrid/>
        <w:spacing w:line="340" w:lineRule="exact"/>
        <w:textAlignment w:val="auto"/>
        <w:rPr>
          <w:rFonts w:hint="eastAsia" w:ascii="方正仿宋简体" w:hAnsi="方正仿宋简体" w:eastAsia="方正仿宋简体" w:cs="方正仿宋简体"/>
          <w:sz w:val="32"/>
          <w:szCs w:val="32"/>
          <w:lang w:val="en-US" w:eastAsia="zh-CN"/>
        </w:rPr>
      </w:pPr>
    </w:p>
    <w:p w14:paraId="5494AB1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一、</w:t>
      </w:r>
      <w:r>
        <w:rPr>
          <w:rFonts w:hint="eastAsia" w:ascii="方正黑体简体" w:hAnsi="方正黑体简体" w:eastAsia="方正黑体简体" w:cs="方正黑体简体"/>
          <w:sz w:val="32"/>
          <w:szCs w:val="32"/>
        </w:rPr>
        <w:t>系统功能设计</w:t>
      </w:r>
    </w:p>
    <w:p w14:paraId="1F87C96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一</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检中流程模块</w:t>
      </w:r>
    </w:p>
    <w:p w14:paraId="0104288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与检验设备（LIS）、影像数据（PACS系统获取B超</w:t>
      </w:r>
      <w:r>
        <w:rPr>
          <w:rFonts w:hint="eastAsia" w:ascii="方正仿宋简体" w:hAnsi="方正仿宋简体" w:eastAsia="方正仿宋简体" w:cs="方正仿宋简体"/>
          <w:sz w:val="32"/>
          <w:szCs w:val="32"/>
          <w:lang w:val="en-US" w:eastAsia="zh-CN"/>
        </w:rPr>
        <w:t>/</w:t>
      </w:r>
      <w:r>
        <w:rPr>
          <w:rFonts w:hint="eastAsia" w:ascii="方正仿宋简体" w:hAnsi="方正仿宋简体" w:eastAsia="方正仿宋简体" w:cs="方正仿宋简体"/>
          <w:sz w:val="32"/>
          <w:szCs w:val="32"/>
        </w:rPr>
        <w:t>DR/CT/钼靶</w:t>
      </w:r>
      <w:r>
        <w:rPr>
          <w:rFonts w:hint="eastAsia" w:ascii="方正仿宋简体" w:hAnsi="方正仿宋简体" w:eastAsia="方正仿宋简体" w:cs="方正仿宋简体"/>
          <w:sz w:val="32"/>
          <w:szCs w:val="32"/>
          <w:lang w:val="en-US" w:eastAsia="zh-CN"/>
        </w:rPr>
        <w:t>/</w:t>
      </w:r>
      <w:r>
        <w:rPr>
          <w:rFonts w:hint="eastAsia" w:ascii="方正仿宋简体" w:hAnsi="方正仿宋简体" w:eastAsia="方正仿宋简体" w:cs="方正仿宋简体"/>
          <w:sz w:val="32"/>
          <w:szCs w:val="32"/>
        </w:rPr>
        <w:t>骨密度影像）、心电图等设备实现数据</w:t>
      </w:r>
      <w:r>
        <w:rPr>
          <w:rFonts w:hint="eastAsia" w:ascii="方正仿宋简体" w:hAnsi="方正仿宋简体" w:eastAsia="方正仿宋简体" w:cs="方正仿宋简体"/>
          <w:sz w:val="32"/>
          <w:szCs w:val="32"/>
          <w:lang w:val="en-US" w:eastAsia="zh-CN"/>
        </w:rPr>
        <w:t>互联互通</w:t>
      </w:r>
      <w:r>
        <w:rPr>
          <w:rFonts w:hint="eastAsia" w:ascii="方正仿宋简体" w:hAnsi="方正仿宋简体" w:eastAsia="方正仿宋简体" w:cs="方正仿宋简体"/>
          <w:sz w:val="32"/>
          <w:szCs w:val="32"/>
        </w:rPr>
        <w:t>，确保检查数据实时准确传输。对于检查结果异常需要复检的情况，系统自动发出复检提醒；遇到紧急值时，直接推送至医生端，以便及时采取医疗措施。用户可通过系统实时查看检查进度，清晰了解未检、已完成、异常待复检等状态，减少等待焦虑。</w:t>
      </w:r>
    </w:p>
    <w:p w14:paraId="0CE0AF73">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lang w:val="en-US" w:eastAsia="zh-CN"/>
        </w:rPr>
        <w:t>二</w:t>
      </w:r>
      <w:r>
        <w:rPr>
          <w:rFonts w:hint="eastAsia" w:ascii="方正仿宋简体" w:hAnsi="方正仿宋简体" w:eastAsia="方正仿宋简体" w:cs="方正仿宋简体"/>
          <w:sz w:val="32"/>
          <w:szCs w:val="32"/>
          <w:lang w:eastAsia="zh-CN"/>
        </w:rPr>
        <w:t>）</w:t>
      </w:r>
      <w:r>
        <w:rPr>
          <w:rFonts w:hint="eastAsia" w:ascii="方正仿宋简体" w:hAnsi="方正仿宋简体" w:eastAsia="方正仿宋简体" w:cs="方正仿宋简体"/>
          <w:sz w:val="32"/>
          <w:szCs w:val="32"/>
        </w:rPr>
        <w:t>数据分析模块</w:t>
      </w:r>
    </w:p>
    <w:p w14:paraId="4CECA5E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数据分析模块为医疗机构提供强大的数据支持。个人健康趋势分析通过对比历年体检数据，直观展示用户健康状况的变化趋势，为个性化健康管理提供依据。群体团检报告及统计报表对疾病检出率、阳性率等关键指标进行深入分析，帮助医疗机构了解群体健康状况。同时，系统支持符合科室要求的自定义统计报表，如科室工作量统计等，便于医院进行管理决策和资源调配。</w:t>
      </w:r>
    </w:p>
    <w:p w14:paraId="3BD55DF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二、</w:t>
      </w:r>
      <w:r>
        <w:rPr>
          <w:rFonts w:hint="eastAsia" w:ascii="方正黑体简体" w:hAnsi="方正黑体简体" w:eastAsia="方正黑体简体" w:cs="方正黑体简体"/>
          <w:sz w:val="32"/>
          <w:szCs w:val="32"/>
        </w:rPr>
        <w:t>技术方案</w:t>
      </w:r>
    </w:p>
    <w:p w14:paraId="63EC8A1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（一）系统架构</w:t>
      </w:r>
    </w:p>
    <w:p w14:paraId="5274193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系统支持B/S（网页端）或C/S（客户端）架构，同时兼容移动端（APP</w:t>
      </w:r>
      <w:r>
        <w:rPr>
          <w:rFonts w:hint="eastAsia" w:ascii="方正仿宋简体" w:hAnsi="方正仿宋简体" w:eastAsia="方正仿宋简体" w:cs="方正仿宋简体"/>
          <w:sz w:val="32"/>
          <w:szCs w:val="32"/>
          <w:lang w:val="en-US" w:eastAsia="zh-CN"/>
        </w:rPr>
        <w:t>/</w:t>
      </w:r>
      <w:r>
        <w:rPr>
          <w:rFonts w:hint="eastAsia" w:ascii="方正仿宋简体" w:hAnsi="方正仿宋简体" w:eastAsia="方正仿宋简体" w:cs="方正仿宋简体"/>
          <w:sz w:val="32"/>
          <w:szCs w:val="32"/>
        </w:rPr>
        <w:t>小程序），满足不同使用场景和用户习惯。在架构设计上，充分考虑高并发处理能力，采用分布式架构和负载均衡技术，确保在团体体检日等高峰流量情况下，系统仍能稳定、高效运行，为用户提供流畅的使用体验。</w:t>
      </w:r>
    </w:p>
    <w:p w14:paraId="0B3FD4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（二）数据交互</w:t>
      </w:r>
    </w:p>
    <w:p w14:paraId="3FB221C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数据交互严格遵循医疗数据标准，确保数据的准确性和规范性。与医院HIS、LIS、PACS系统实现无缝对接，同时支持医院集成平台标准对接，打破信息孤岛，实现医疗数据的互联互通。通过标准化的数据接口和协议，保障数据在不同系统之间的实时传输和共享，提升智慧化服务能力。</w:t>
      </w:r>
    </w:p>
    <w:p w14:paraId="341109C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（三）安全与隐私</w:t>
      </w:r>
    </w:p>
    <w:p w14:paraId="6039FCA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系统安全与隐私保护是重中之重。严格符合《网络安全法》《个人信息保护法》等相关法律法规要求，采用SSL/TLS加密技术实现数据加密传输，防止数据在传输过程中被窃取或篡改。数据存储采用脱敏处理，确保用户敏感信息的安全。权限分级管理，为医生、护士、管理员等不同角色分配不同的操作权限，实现角色权限隔离，保障数据访问的安全性和可控性。</w:t>
      </w:r>
    </w:p>
    <w:p w14:paraId="2F45DFB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（四）稳定性与容灾</w:t>
      </w:r>
    </w:p>
    <w:p w14:paraId="082FA56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系统支持本地化部署，部署方式将根据医疗机构的实际需求和资源情况进行选择，且无论何种部署方式均</w:t>
      </w:r>
      <w:r>
        <w:rPr>
          <w:rFonts w:hint="eastAsia" w:ascii="方正仿宋简体" w:hAnsi="方正仿宋简体" w:eastAsia="方正仿宋简体" w:cs="方正仿宋简体"/>
          <w:sz w:val="32"/>
          <w:szCs w:val="32"/>
          <w:lang w:val="en-US" w:eastAsia="zh-CN"/>
        </w:rPr>
        <w:t>满足</w:t>
      </w:r>
      <w:r>
        <w:rPr>
          <w:rFonts w:hint="eastAsia" w:ascii="方正仿宋简体" w:hAnsi="方正仿宋简体" w:eastAsia="方正仿宋简体" w:cs="方正仿宋简体"/>
          <w:sz w:val="32"/>
          <w:szCs w:val="32"/>
        </w:rPr>
        <w:t>医疗安全标准。数据备份采用每日增量备份与异地容灾相结合的策略，确保数据的完整性和可用性。即使在遭遇自然灾害、硬件故障等突发情况时，也能快速恢复数据，保障系统的持续稳定运行。</w:t>
      </w:r>
    </w:p>
    <w:p w14:paraId="0890ED7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三</w:t>
      </w:r>
      <w:r>
        <w:rPr>
          <w:rFonts w:hint="eastAsia" w:ascii="方正黑体简体" w:hAnsi="方正黑体简体" w:eastAsia="方正黑体简体" w:cs="方正黑体简体"/>
          <w:sz w:val="32"/>
          <w:szCs w:val="32"/>
        </w:rPr>
        <w:t>、用户体验设计</w:t>
      </w:r>
    </w:p>
    <w:p w14:paraId="33EEAE8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（一）操作便捷性</w:t>
      </w:r>
    </w:p>
    <w:p w14:paraId="24A3E7E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对于医护人员，系统界面设计简洁明了，操作流程优化，支持快速录入，如语音输入、模板化报告等功能，减少手动录入工作量，提高工作效率。对于体检者，提供便捷的线上预约服务，实时接收排队提醒，可即时查看电子报告，让用户在体检过程中感受到便捷与高效。</w:t>
      </w:r>
    </w:p>
    <w:p w14:paraId="3E7A4BA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（二）多端适配</w:t>
      </w:r>
    </w:p>
    <w:p w14:paraId="5B93C9D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系统实现多端适配，体检中心配备大屏用于叫号展示，用户可通过手机端进行预约和查询，医院工作人员通过 PC 端管理后台进行系统管理和业务操作。多端数据实时同步，确保用户在不同设备上都能获得一致的服务体验。</w:t>
      </w:r>
    </w:p>
    <w:p w14:paraId="7C1629E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（三）扩展性</w:t>
      </w:r>
    </w:p>
    <w:p w14:paraId="7C417B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系统采用插件式架构设计，具备良好的扩展性。支持新增 AI 辅助诊断模块等功能插件，随着医疗技术和业务需求的发展，方便医疗机构灵活扩展系统功能，满足不断变化的业务需求。</w:t>
      </w:r>
    </w:p>
    <w:p w14:paraId="27F6CA9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lang w:val="en-US" w:eastAsia="zh-CN"/>
        </w:rPr>
        <w:t>四</w:t>
      </w:r>
      <w:r>
        <w:rPr>
          <w:rFonts w:hint="eastAsia" w:ascii="方正黑体简体" w:hAnsi="方正黑体简体" w:eastAsia="方正黑体简体" w:cs="方正黑体简体"/>
          <w:sz w:val="32"/>
          <w:szCs w:val="32"/>
        </w:rPr>
        <w:t>、特殊场景解决方案</w:t>
      </w:r>
    </w:p>
    <w:p w14:paraId="4EE57EC9">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（一）企业员工体检</w:t>
      </w:r>
    </w:p>
    <w:p w14:paraId="729284C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rPr>
      </w:pPr>
      <w:r>
        <w:rPr>
          <w:rFonts w:hint="eastAsia" w:ascii="方正仿宋简体" w:hAnsi="方正仿宋简体" w:eastAsia="方正仿宋简体" w:cs="方正仿宋简体"/>
          <w:sz w:val="32"/>
          <w:szCs w:val="32"/>
        </w:rPr>
        <w:t>针对企业员工体检场景，系统提供员工</w:t>
      </w:r>
      <w:r>
        <w:rPr>
          <w:rFonts w:hint="eastAsia" w:ascii="方正仿宋简体" w:hAnsi="方正仿宋简体" w:eastAsia="方正仿宋简体" w:cs="方正仿宋简体"/>
          <w:sz w:val="32"/>
          <w:szCs w:val="32"/>
          <w:lang w:val="en-US" w:eastAsia="zh-CN"/>
        </w:rPr>
        <w:t>基础信息</w:t>
      </w:r>
      <w:r>
        <w:rPr>
          <w:rFonts w:hint="eastAsia" w:ascii="方正仿宋简体" w:hAnsi="方正仿宋简体" w:eastAsia="方正仿宋简体" w:cs="方正仿宋简体"/>
          <w:sz w:val="32"/>
          <w:szCs w:val="32"/>
        </w:rPr>
        <w:t>批量导</w:t>
      </w:r>
      <w:r>
        <w:rPr>
          <w:rFonts w:hint="eastAsia" w:ascii="方正仿宋简体" w:hAnsi="方正仿宋简体" w:eastAsia="方正仿宋简体" w:cs="方正仿宋简体"/>
          <w:sz w:val="32"/>
          <w:szCs w:val="32"/>
          <w:lang w:val="en-US" w:eastAsia="zh-CN"/>
        </w:rPr>
        <w:t>入</w:t>
      </w:r>
      <w:r>
        <w:rPr>
          <w:rFonts w:hint="eastAsia" w:ascii="方正仿宋简体" w:hAnsi="方正仿宋简体" w:eastAsia="方正仿宋简体" w:cs="方正仿宋简体"/>
          <w:sz w:val="32"/>
          <w:szCs w:val="32"/>
        </w:rPr>
        <w:t>功能。企业可根据需求，将员工的体检报告、健康数据等信息批量导出，便于企业进行员工健康管理和数据分析。同时，在预约和体检流程上，为企业员工提供专属服务通道，提高体检效率。</w:t>
      </w:r>
    </w:p>
    <w:p w14:paraId="157A82F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eastAsia="zh-CN"/>
        </w:rPr>
      </w:pPr>
      <w:r>
        <w:rPr>
          <w:rFonts w:hint="eastAsia" w:ascii="方正仿宋简体" w:hAnsi="方正仿宋简体" w:eastAsia="方正仿宋简体" w:cs="方正仿宋简体"/>
          <w:sz w:val="32"/>
          <w:szCs w:val="32"/>
        </w:rPr>
        <w:t>（二）高端体检</w:t>
      </w:r>
    </w:p>
    <w:p w14:paraId="1D81220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rPr>
        <w:t>对于高端体检用户，系统提供 VIP 通道管理功能，从预约、体检</w:t>
      </w:r>
      <w:r>
        <w:rPr>
          <w:rFonts w:hint="eastAsia" w:ascii="方正仿宋简体" w:hAnsi="方正仿宋简体" w:eastAsia="方正仿宋简体" w:cs="方正仿宋简体"/>
          <w:sz w:val="32"/>
          <w:szCs w:val="32"/>
          <w:lang w:val="en-US" w:eastAsia="zh-CN"/>
        </w:rPr>
        <w:t>和排队</w:t>
      </w:r>
      <w:r>
        <w:rPr>
          <w:rFonts w:hint="eastAsia" w:ascii="方正仿宋简体" w:hAnsi="方正仿宋简体" w:eastAsia="方正仿宋简体" w:cs="方正仿宋简体"/>
          <w:sz w:val="32"/>
          <w:szCs w:val="32"/>
        </w:rPr>
        <w:t>到报告解读，为 VIP 用户提供专属的优先服务。支持一对一报告解读预约，安排专业医生为 VIP 用户进行详细的报告解读和健康指导，满足高端用户对个性化、高品质服务的需求。</w:t>
      </w:r>
    </w:p>
    <w:p w14:paraId="0CB64D5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五、整体建设要求</w:t>
      </w:r>
    </w:p>
    <w:p w14:paraId="66FA314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一）要求实现全数字化体检管理系统，信息一次输入，永久被调用，从基本信息录入到各项结果输出实现全程序控制，不会在中间环节产生第三方软件操作的界面，保证记录资料的安全性和可靠性，以及工作简便流程化。</w:t>
      </w:r>
    </w:p>
    <w:p w14:paraId="22EF1C6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（二）系统界面友好，模仿实际工作习惯，操作简便。对于一般医生和高年资医师来说，要求易学易用，做到汉字“零”输入，俗称“傻瓜型”。</w:t>
      </w:r>
    </w:p>
    <w:p w14:paraId="71AE200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（三）系统的运行速度要求符合医院体检业务的需要，达到高效、快速的性能。</w:t>
      </w:r>
    </w:p>
    <w:p w14:paraId="63327C75">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（四）系统数据安全性方面，要能提供用户操作权限分配功能，完善的备份、恢复功能，数据修改全程监控功能。</w:t>
      </w:r>
    </w:p>
    <w:p w14:paraId="598DD76E">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（五）系统扩展性方面，提供多种接口，如HIS接口、LIS接口、RIS接口、PACS接口、WEB接口等。</w:t>
      </w:r>
    </w:p>
    <w:p w14:paraId="7100BA7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（六）体检类型提供多种类型可选，如普通体检类型和贵宾体检类型等，便于加以区别对待。体检流程要求提供至少两种可选模式，如条码流程模式、磁卡流程模式。</w:t>
      </w:r>
    </w:p>
    <w:p w14:paraId="2EFAB92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七）拥有照片摄像和打印功能。体检登记模块提供批量录入、Excel导入、预约导入功能，批量修改功能。体检收费模块提供个人收费、单位收费，现金、支票、免费、折扣等功能；提供单位汇总清单和详细清单。</w:t>
      </w:r>
    </w:p>
    <w:p w14:paraId="42C7A9C8">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（八）各科室提供方便的体检结果录入。科室结果提供批量录入。总检模块提供不同类型的体检者分组功能。采血室提供照片核对和自动试管分类功能。</w:t>
      </w:r>
    </w:p>
    <w:p w14:paraId="7F4AFD20">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（九）建立团体和个人体检人员健康档案，方便、快捷做出整体健康状况分析和体检情况跟踪，形成各项统计报表数据。</w:t>
      </w:r>
    </w:p>
    <w:p w14:paraId="7C57DF4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（十）具有完善的统计功能。包括疾病统计，工作量统计，体检中心收入统计等，提供自定义报表生成工具。</w:t>
      </w:r>
    </w:p>
    <w:p w14:paraId="3E5C56D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sz w:val="32"/>
          <w:szCs w:val="32"/>
          <w:lang w:val="en-US" w:eastAsia="zh-CN"/>
        </w:rPr>
        <w:t>（十一）具有强大的疾病统计及分析功能，可用于学术研究，并可以方便调阅体检客户以往体检结果。</w:t>
      </w:r>
    </w:p>
    <w:p w14:paraId="1C87D77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eastAsia="zh-CN"/>
        </w:rPr>
        <w:t>六、产品功能参数</w:t>
      </w:r>
    </w:p>
    <w:tbl>
      <w:tblPr>
        <w:tblStyle w:val="3"/>
        <w:tblW w:w="8519"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52"/>
        <w:gridCol w:w="1379"/>
        <w:gridCol w:w="5561"/>
        <w:gridCol w:w="727"/>
      </w:tblGrid>
      <w:tr w14:paraId="38EE24B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top"/>
          </w:tcPr>
          <w:p w14:paraId="37BF1EE4">
            <w:pPr>
              <w:pStyle w:val="5"/>
              <w:numPr>
                <w:ilvl w:val="0"/>
                <w:numId w:val="0"/>
              </w:numPr>
              <w:ind w:leftChars="0"/>
              <w:jc w:val="center"/>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序号</w:t>
            </w:r>
          </w:p>
        </w:tc>
        <w:tc>
          <w:tcPr>
            <w:tcW w:w="1379" w:type="dxa"/>
            <w:noWrap w:val="0"/>
            <w:vAlign w:val="top"/>
          </w:tcPr>
          <w:p w14:paraId="036C361B">
            <w:pPr>
              <w:pStyle w:val="5"/>
              <w:jc w:val="center"/>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模块</w:t>
            </w:r>
          </w:p>
        </w:tc>
        <w:tc>
          <w:tcPr>
            <w:tcW w:w="5561" w:type="dxa"/>
            <w:noWrap w:val="0"/>
            <w:vAlign w:val="top"/>
          </w:tcPr>
          <w:p w14:paraId="56B8F606">
            <w:pPr>
              <w:pStyle w:val="5"/>
              <w:jc w:val="center"/>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功能需求描述</w:t>
            </w:r>
          </w:p>
        </w:tc>
        <w:tc>
          <w:tcPr>
            <w:tcW w:w="727" w:type="dxa"/>
            <w:noWrap w:val="0"/>
            <w:vAlign w:val="top"/>
          </w:tcPr>
          <w:p w14:paraId="5DD1FB2A">
            <w:pPr>
              <w:pStyle w:val="5"/>
              <w:jc w:val="center"/>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备注</w:t>
            </w:r>
          </w:p>
        </w:tc>
      </w:tr>
      <w:tr w14:paraId="0E62835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3F3404E5">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eastAsia="zh-CN"/>
              </w:rPr>
            </w:pPr>
          </w:p>
        </w:tc>
        <w:tc>
          <w:tcPr>
            <w:tcW w:w="1379" w:type="dxa"/>
            <w:noWrap w:val="0"/>
            <w:vAlign w:val="center"/>
          </w:tcPr>
          <w:p w14:paraId="6ECCD0ED">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整体要求</w:t>
            </w:r>
          </w:p>
        </w:tc>
        <w:tc>
          <w:tcPr>
            <w:tcW w:w="5561" w:type="dxa"/>
            <w:noWrap w:val="0"/>
            <w:vAlign w:val="top"/>
          </w:tcPr>
          <w:p w14:paraId="33B8AA6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以中华医学会健康管理学分会发布的《健康体检质量控制指南》为指导，从开单、分科、</w:t>
            </w:r>
            <w:r>
              <w:rPr>
                <w:rFonts w:hint="eastAsia" w:ascii="宋体" w:hAnsi="宋体" w:eastAsia="宋体" w:cs="宋体"/>
                <w:kern w:val="2"/>
                <w:sz w:val="24"/>
                <w:szCs w:val="24"/>
                <w:highlight w:val="none"/>
                <w:lang w:val="en-US" w:eastAsia="zh-CN"/>
              </w:rPr>
              <w:t>重要异常管理、</w:t>
            </w:r>
            <w:r>
              <w:rPr>
                <w:rFonts w:hint="eastAsia" w:ascii="宋体" w:hAnsi="宋体" w:eastAsia="宋体" w:cs="宋体"/>
                <w:kern w:val="2"/>
                <w:sz w:val="24"/>
                <w:szCs w:val="24"/>
                <w:highlight w:val="none"/>
              </w:rPr>
              <w:t>总检总审</w:t>
            </w:r>
            <w:r>
              <w:rPr>
                <w:rFonts w:hint="eastAsia" w:ascii="宋体" w:hAnsi="宋体" w:eastAsia="宋体" w:cs="宋体"/>
                <w:kern w:val="2"/>
                <w:sz w:val="24"/>
                <w:szCs w:val="24"/>
                <w:highlight w:val="none"/>
                <w:lang w:val="en-US" w:eastAsia="zh-CN"/>
              </w:rPr>
              <w:t>管理</w:t>
            </w:r>
            <w:r>
              <w:rPr>
                <w:rFonts w:hint="eastAsia" w:ascii="宋体" w:hAnsi="宋体" w:eastAsia="宋体" w:cs="宋体"/>
                <w:kern w:val="2"/>
                <w:sz w:val="24"/>
                <w:szCs w:val="24"/>
                <w:highlight w:val="none"/>
              </w:rPr>
              <w:t>进行</w:t>
            </w:r>
            <w:r>
              <w:rPr>
                <w:rFonts w:hint="eastAsia" w:ascii="宋体" w:hAnsi="宋体" w:eastAsia="宋体" w:cs="宋体"/>
                <w:kern w:val="2"/>
                <w:sz w:val="24"/>
                <w:szCs w:val="24"/>
                <w:highlight w:val="none"/>
                <w:lang w:val="en-US" w:eastAsia="zh-CN"/>
              </w:rPr>
              <w:t>全面</w:t>
            </w:r>
            <w:r>
              <w:rPr>
                <w:rFonts w:hint="eastAsia" w:ascii="宋体" w:hAnsi="宋体" w:eastAsia="宋体" w:cs="宋体"/>
                <w:kern w:val="2"/>
                <w:sz w:val="24"/>
                <w:szCs w:val="24"/>
                <w:highlight w:val="none"/>
              </w:rPr>
              <w:t>质量控制，要求质量控制贯穿整个体检流程。</w:t>
            </w:r>
          </w:p>
          <w:p w14:paraId="6D690AAE">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系统具备人员服务质控和医疗结果质控能力，具有人员服务等级标记功能和家庭成员管理功能。</w:t>
            </w:r>
          </w:p>
          <w:p w14:paraId="386D6A9C">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要求实现检前、检后、线上、线下多方平台能够数据互联、流程融合。</w:t>
            </w:r>
          </w:p>
          <w:p w14:paraId="6A8D09DC">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sz w:val="24"/>
                <w:szCs w:val="24"/>
                <w:lang w:val="en-US" w:eastAsia="zh-CN" w:bidi="ar"/>
              </w:rPr>
              <w:t>支持</w:t>
            </w:r>
            <w:r>
              <w:rPr>
                <w:rFonts w:hint="eastAsia" w:ascii="宋体" w:hAnsi="宋体" w:eastAsia="宋体" w:cs="宋体"/>
                <w:sz w:val="24"/>
                <w:szCs w:val="24"/>
                <w:lang w:bidi="ar"/>
              </w:rPr>
              <w:t>根据体检对象不同，个别敏感数据可设置相应的保密级别，可根据实际的业务场景需求分别只能让有权限的用户进行查询和操作。</w:t>
            </w:r>
          </w:p>
        </w:tc>
        <w:tc>
          <w:tcPr>
            <w:tcW w:w="727" w:type="dxa"/>
            <w:noWrap w:val="0"/>
            <w:vAlign w:val="top"/>
          </w:tcPr>
          <w:p w14:paraId="7500AA73">
            <w:pPr>
              <w:pStyle w:val="5"/>
              <w:rPr>
                <w:rFonts w:hint="eastAsia" w:ascii="宋体" w:hAnsi="宋体" w:eastAsia="宋体" w:cs="宋体"/>
                <w:kern w:val="2"/>
                <w:sz w:val="24"/>
                <w:szCs w:val="24"/>
                <w:highlight w:val="none"/>
              </w:rPr>
            </w:pPr>
          </w:p>
        </w:tc>
      </w:tr>
      <w:tr w14:paraId="3AF2F425">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9580464">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33E0CCC6">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登记</w:t>
            </w:r>
            <w:r>
              <w:rPr>
                <w:rFonts w:hint="eastAsia" w:ascii="宋体" w:hAnsi="宋体" w:eastAsia="宋体" w:cs="宋体"/>
                <w:sz w:val="24"/>
                <w:szCs w:val="24"/>
                <w:highlight w:val="none"/>
              </w:rPr>
              <w:t>管理</w:t>
            </w:r>
          </w:p>
        </w:tc>
        <w:tc>
          <w:tcPr>
            <w:tcW w:w="5561" w:type="dxa"/>
            <w:noWrap w:val="0"/>
            <w:vAlign w:val="top"/>
          </w:tcPr>
          <w:p w14:paraId="59D7057E">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开单登记：要求支持身份证自动读取人员信息、实现VIP/投诉/替检</w:t>
            </w:r>
            <w:r>
              <w:rPr>
                <w:rFonts w:hint="eastAsia" w:ascii="宋体" w:hAnsi="宋体" w:eastAsia="宋体" w:cs="宋体"/>
                <w:kern w:val="2"/>
                <w:sz w:val="24"/>
                <w:szCs w:val="24"/>
                <w:highlight w:val="none"/>
                <w:lang w:val="en-US" w:eastAsia="zh-CN"/>
              </w:rPr>
              <w:t>的</w:t>
            </w:r>
            <w:r>
              <w:rPr>
                <w:rFonts w:hint="eastAsia" w:ascii="宋体" w:hAnsi="宋体" w:eastAsia="宋体" w:cs="宋体"/>
                <w:kern w:val="2"/>
                <w:sz w:val="24"/>
                <w:szCs w:val="24"/>
                <w:highlight w:val="none"/>
              </w:rPr>
              <w:t>标识</w:t>
            </w:r>
            <w:r>
              <w:rPr>
                <w:rFonts w:hint="eastAsia" w:ascii="宋体" w:hAnsi="宋体" w:eastAsia="宋体" w:cs="宋体"/>
                <w:kern w:val="2"/>
                <w:sz w:val="24"/>
                <w:szCs w:val="24"/>
                <w:highlight w:val="none"/>
                <w:lang w:val="en-US" w:eastAsia="zh-CN"/>
              </w:rPr>
              <w:t>警示</w:t>
            </w:r>
            <w:r>
              <w:rPr>
                <w:rFonts w:hint="eastAsia" w:ascii="宋体" w:hAnsi="宋体" w:eastAsia="宋体" w:cs="宋体"/>
                <w:kern w:val="2"/>
                <w:sz w:val="24"/>
                <w:szCs w:val="24"/>
                <w:highlight w:val="none"/>
              </w:rPr>
              <w:t>、历次</w:t>
            </w:r>
            <w:r>
              <w:rPr>
                <w:rFonts w:hint="eastAsia" w:ascii="宋体" w:hAnsi="宋体" w:eastAsia="宋体" w:cs="宋体"/>
                <w:kern w:val="2"/>
                <w:sz w:val="24"/>
                <w:szCs w:val="24"/>
                <w:highlight w:val="none"/>
                <w:lang w:val="en-US" w:eastAsia="zh-CN"/>
              </w:rPr>
              <w:t>报告的</w:t>
            </w:r>
            <w:r>
              <w:rPr>
                <w:rFonts w:hint="eastAsia" w:ascii="宋体" w:hAnsi="宋体" w:eastAsia="宋体" w:cs="宋体"/>
                <w:kern w:val="2"/>
                <w:sz w:val="24"/>
                <w:szCs w:val="24"/>
                <w:highlight w:val="none"/>
              </w:rPr>
              <w:t>调阅。</w:t>
            </w:r>
          </w:p>
          <w:p w14:paraId="31914EE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项目选定：支持耗材带出功能，如录入抽血项目时可自动带出采血管数量，实现抽血管的材料费可收费。</w:t>
            </w:r>
          </w:p>
          <w:p w14:paraId="3C26D4D1">
            <w:pPr>
              <w:pStyle w:val="5"/>
              <w:numPr>
                <w:ilvl w:val="0"/>
                <w:numId w:val="2"/>
              </w:numPr>
              <w:ind w:left="0" w:leftChars="0" w:firstLine="0" w:firstLineChars="0"/>
              <w:rPr>
                <w:rFonts w:hint="eastAsia" w:ascii="宋体" w:hAnsi="宋体" w:eastAsia="宋体" w:cs="宋体"/>
                <w:kern w:val="2"/>
                <w:sz w:val="24"/>
                <w:szCs w:val="24"/>
                <w:highlight w:val="none"/>
                <w:lang w:eastAsia="zh-CN"/>
              </w:rPr>
            </w:pPr>
            <w:r>
              <w:rPr>
                <w:rFonts w:hint="eastAsia" w:ascii="宋体" w:hAnsi="宋体" w:eastAsia="宋体" w:cs="宋体"/>
                <w:kern w:val="2"/>
                <w:sz w:val="24"/>
                <w:szCs w:val="24"/>
                <w:highlight w:val="none"/>
              </w:rPr>
              <w:t>项目规则：具备男女项目互斥功能、实现备孕标签客户无法开出放射项目、重复收费项目相互互斥提醒等多种项目互斥提醒功能</w:t>
            </w:r>
            <w:r>
              <w:rPr>
                <w:rFonts w:hint="eastAsia" w:ascii="宋体" w:hAnsi="宋体" w:eastAsia="宋体" w:cs="宋体"/>
                <w:kern w:val="2"/>
                <w:sz w:val="24"/>
                <w:szCs w:val="24"/>
                <w:highlight w:val="none"/>
                <w:lang w:eastAsia="zh-CN"/>
              </w:rPr>
              <w:t>。</w:t>
            </w:r>
          </w:p>
          <w:p w14:paraId="13B5C9DB">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数码拍照：支持在开单登记处可进行拍照处理，指引单上能够显示个人照片。支持弃拍、补拍等动作，要求记录在系统中可调阅。支持显示历史照片和当前照片进行核对；</w:t>
            </w:r>
          </w:p>
          <w:p w14:paraId="0AC44FC3">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资格标记：可实现单位职工体检非本人参检标注功能，满足团检客户体检资格转让需求；</w:t>
            </w:r>
          </w:p>
          <w:p w14:paraId="4C013F59">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项目变更：能够退费退项，可删减未缴费的项目或退掉已缴费项目。能够做弃检处理：对于体检客户放弃的项目，如果需要退费则走退费流程，如果不退费则做弃检标记，表示放弃该科室项目的检查。</w:t>
            </w:r>
          </w:p>
          <w:p w14:paraId="7492F9CF">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拒检签字：客户拒检医生建议的应查项目时，可对接手写板实现客户确认签字并留下痕迹进行电子存档。</w:t>
            </w:r>
          </w:p>
          <w:p w14:paraId="58E5026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体检编号规则：能够实现多种规则方式来生成体检号（如流水号、日期+流水号）。</w:t>
            </w:r>
          </w:p>
        </w:tc>
        <w:tc>
          <w:tcPr>
            <w:tcW w:w="727" w:type="dxa"/>
            <w:noWrap w:val="0"/>
            <w:vAlign w:val="top"/>
          </w:tcPr>
          <w:p w14:paraId="1174EA92">
            <w:pPr>
              <w:pStyle w:val="5"/>
              <w:rPr>
                <w:rFonts w:hint="eastAsia" w:ascii="宋体" w:hAnsi="宋体" w:eastAsia="宋体" w:cs="宋体"/>
                <w:kern w:val="2"/>
                <w:sz w:val="24"/>
                <w:szCs w:val="24"/>
                <w:highlight w:val="none"/>
              </w:rPr>
            </w:pPr>
          </w:p>
        </w:tc>
      </w:tr>
      <w:tr w14:paraId="2F6268B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72818A4">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1EEF823A">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单位体检</w:t>
            </w:r>
          </w:p>
        </w:tc>
        <w:tc>
          <w:tcPr>
            <w:tcW w:w="5561" w:type="dxa"/>
            <w:noWrap w:val="0"/>
            <w:vAlign w:val="top"/>
          </w:tcPr>
          <w:p w14:paraId="638F8B75">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支持名单导入，自动识别Excel表头信息进行关联导入，</w:t>
            </w:r>
          </w:p>
          <w:p w14:paraId="38F0A2E6">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具备纠错功能，针对必选字段进行纠错提醒及身份证校验功能，</w:t>
            </w:r>
          </w:p>
          <w:p w14:paraId="6702C199">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支持智能分组，能够根据人员信息自动进行分组选择目标套餐</w:t>
            </w:r>
          </w:p>
          <w:p w14:paraId="25129DE8">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支持项目设置，项目批量处理，如增加、删除、打折、限额等</w:t>
            </w:r>
          </w:p>
          <w:p w14:paraId="12C5F698">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各种批量操作，如分组及个人的禁检和恢复，项目的新增删除</w:t>
            </w:r>
          </w:p>
          <w:p w14:paraId="13044F1B">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操作痕迹日志，所有操作严格记录责任人、操作数据和日期时间</w:t>
            </w:r>
          </w:p>
          <w:p w14:paraId="5764FAF5">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各种单据打印，通知单、指引单、条码的统一批量制作和打印</w:t>
            </w:r>
          </w:p>
        </w:tc>
        <w:tc>
          <w:tcPr>
            <w:tcW w:w="727" w:type="dxa"/>
            <w:noWrap w:val="0"/>
            <w:vAlign w:val="top"/>
          </w:tcPr>
          <w:p w14:paraId="6815B104">
            <w:pPr>
              <w:pStyle w:val="5"/>
              <w:rPr>
                <w:rFonts w:hint="eastAsia" w:ascii="宋体" w:hAnsi="宋体" w:eastAsia="宋体" w:cs="宋体"/>
                <w:kern w:val="2"/>
                <w:sz w:val="24"/>
                <w:szCs w:val="24"/>
                <w:highlight w:val="none"/>
              </w:rPr>
            </w:pPr>
          </w:p>
        </w:tc>
      </w:tr>
      <w:tr w14:paraId="1C4F27F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7D2E03C7">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3A488CD3">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报到登记</w:t>
            </w:r>
          </w:p>
        </w:tc>
        <w:tc>
          <w:tcPr>
            <w:tcW w:w="5561" w:type="dxa"/>
            <w:noWrap w:val="0"/>
            <w:vAlign w:val="top"/>
          </w:tcPr>
          <w:p w14:paraId="4BA99A7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支持贵宾通知功能，如VIP人群到检时能够发短信通知到科室负责人，在录单时有VVIP、VIP及投诉身份识别功能，并能提醒工作人员。</w:t>
            </w:r>
          </w:p>
        </w:tc>
        <w:tc>
          <w:tcPr>
            <w:tcW w:w="727" w:type="dxa"/>
            <w:noWrap w:val="0"/>
            <w:vAlign w:val="top"/>
          </w:tcPr>
          <w:p w14:paraId="5413D80F">
            <w:pPr>
              <w:pStyle w:val="5"/>
              <w:rPr>
                <w:rFonts w:hint="eastAsia" w:ascii="宋体" w:hAnsi="宋体" w:eastAsia="宋体" w:cs="宋体"/>
                <w:kern w:val="2"/>
                <w:sz w:val="24"/>
                <w:szCs w:val="24"/>
                <w:highlight w:val="none"/>
              </w:rPr>
            </w:pPr>
          </w:p>
        </w:tc>
      </w:tr>
      <w:tr w14:paraId="521A237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7D5DCD3">
            <w:pPr>
              <w:widowControl/>
              <w:numPr>
                <w:ilvl w:val="0"/>
                <w:numId w:val="1"/>
              </w:numPr>
              <w:ind w:left="425" w:leftChars="0" w:hanging="425" w:firstLineChars="0"/>
              <w:jc w:val="center"/>
              <w:textAlignment w:val="center"/>
              <w:rPr>
                <w:rFonts w:hint="eastAsia" w:ascii="宋体" w:hAnsi="宋体" w:eastAsia="宋体" w:cs="宋体"/>
                <w:sz w:val="24"/>
                <w:szCs w:val="24"/>
                <w:highlight w:val="none"/>
              </w:rPr>
            </w:pPr>
          </w:p>
        </w:tc>
        <w:tc>
          <w:tcPr>
            <w:tcW w:w="1379" w:type="dxa"/>
            <w:noWrap w:val="0"/>
            <w:vAlign w:val="center"/>
          </w:tcPr>
          <w:p w14:paraId="6355C23F">
            <w:pPr>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项目推荐</w:t>
            </w:r>
          </w:p>
        </w:tc>
        <w:tc>
          <w:tcPr>
            <w:tcW w:w="5561" w:type="dxa"/>
            <w:noWrap w:val="0"/>
            <w:vAlign w:val="top"/>
          </w:tcPr>
          <w:p w14:paraId="7558F14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遵循《健康体检基本项目专家共识》，根据受检者年龄、性别、病史、家族遗传及生活习惯等信息，依据专家共识筛选适配检查项目，为不同人群定制科学合理、性价比高的检查套餐（基础、中端、高端），以直观界面展示套餐内容和优势，完成智能推荐。</w:t>
            </w:r>
          </w:p>
        </w:tc>
        <w:tc>
          <w:tcPr>
            <w:tcW w:w="727" w:type="dxa"/>
            <w:noWrap w:val="0"/>
            <w:vAlign w:val="top"/>
          </w:tcPr>
          <w:p w14:paraId="73A10FAD">
            <w:pPr>
              <w:pStyle w:val="5"/>
              <w:rPr>
                <w:rFonts w:hint="eastAsia" w:ascii="宋体" w:hAnsi="宋体" w:eastAsia="宋体" w:cs="宋体"/>
                <w:kern w:val="2"/>
                <w:sz w:val="24"/>
                <w:szCs w:val="24"/>
                <w:highlight w:val="none"/>
              </w:rPr>
            </w:pPr>
          </w:p>
        </w:tc>
      </w:tr>
      <w:tr w14:paraId="64FDFCC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61376C7B">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02098583">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体检收费</w:t>
            </w:r>
          </w:p>
        </w:tc>
        <w:tc>
          <w:tcPr>
            <w:tcW w:w="5561" w:type="dxa"/>
            <w:noWrap w:val="0"/>
            <w:vAlign w:val="top"/>
          </w:tcPr>
          <w:p w14:paraId="0575679E">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支持开单选择多个体检套餐并能合并缴费，不用分开缴费。</w:t>
            </w:r>
          </w:p>
          <w:p w14:paraId="271F30A9">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能够记录不同的支付方式（现金、银联、微信、支付宝）的收费信息。支持整体或单项的打折优惠操作（折扣、定额）。支持单位体检的换项改项操作并可自动补差价，超出统收金额自动转自费。退项、退费、增项、增费严格又灵活，能跟踪到责任人，杜绝团体结算漏洞，并具有完善的管理方式。</w:t>
            </w:r>
          </w:p>
        </w:tc>
        <w:tc>
          <w:tcPr>
            <w:tcW w:w="727" w:type="dxa"/>
            <w:noWrap w:val="0"/>
            <w:vAlign w:val="top"/>
          </w:tcPr>
          <w:p w14:paraId="7FEE09D5">
            <w:pPr>
              <w:pStyle w:val="5"/>
              <w:rPr>
                <w:rFonts w:hint="eastAsia" w:ascii="宋体" w:hAnsi="宋体" w:eastAsia="宋体" w:cs="宋体"/>
                <w:kern w:val="2"/>
                <w:sz w:val="24"/>
                <w:szCs w:val="24"/>
                <w:highlight w:val="none"/>
              </w:rPr>
            </w:pPr>
          </w:p>
        </w:tc>
      </w:tr>
      <w:tr w14:paraId="38C200A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4F5AE11F">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1BEC2CC5">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单位结算</w:t>
            </w:r>
          </w:p>
        </w:tc>
        <w:tc>
          <w:tcPr>
            <w:tcW w:w="5561" w:type="dxa"/>
            <w:noWrap w:val="0"/>
            <w:vAlign w:val="top"/>
          </w:tcPr>
          <w:p w14:paraId="6EB1D253">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支持单位可按分组、按部门、按日期不同的筛选条件进行多次结算、预结算，结算后具有禁检操作，要求团体结算适应性强。</w:t>
            </w:r>
          </w:p>
          <w:p w14:paraId="17C0D8E1">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要求具备根据体检时间、体检单位、体检状态、体检类型等查询条件进行导出个人结算清单功能，清单内容包括但不限于个人检查项目，项目金额等。</w:t>
            </w:r>
          </w:p>
        </w:tc>
        <w:tc>
          <w:tcPr>
            <w:tcW w:w="727" w:type="dxa"/>
            <w:noWrap w:val="0"/>
            <w:vAlign w:val="top"/>
          </w:tcPr>
          <w:p w14:paraId="46354E60">
            <w:pPr>
              <w:pStyle w:val="5"/>
              <w:rPr>
                <w:rFonts w:hint="eastAsia" w:ascii="宋体" w:hAnsi="宋体" w:eastAsia="宋体" w:cs="宋体"/>
                <w:kern w:val="2"/>
                <w:sz w:val="24"/>
                <w:szCs w:val="24"/>
                <w:highlight w:val="none"/>
              </w:rPr>
            </w:pPr>
          </w:p>
        </w:tc>
      </w:tr>
      <w:tr w14:paraId="5280823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6A8B17B">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3D6CBD6C">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检验采集</w:t>
            </w:r>
          </w:p>
        </w:tc>
        <w:tc>
          <w:tcPr>
            <w:tcW w:w="5561" w:type="dxa"/>
            <w:noWrap w:val="0"/>
            <w:vAlign w:val="top"/>
          </w:tcPr>
          <w:p w14:paraId="5C8FBE45">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采集血液、体液过程可进行采集档案信息的记录（如晕针血、是否采样困难）。</w:t>
            </w:r>
          </w:p>
          <w:p w14:paraId="175AA6C8">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支持体检标本的全流程质控管理，具备标本采样、送检、签收等全链路追踪。</w:t>
            </w:r>
          </w:p>
          <w:p w14:paraId="7185DB35">
            <w:pPr>
              <w:pStyle w:val="5"/>
              <w:numPr>
                <w:ilvl w:val="0"/>
                <w:numId w:val="0"/>
              </w:numPr>
              <w:ind w:left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注：需精确记录标本采集时间，详细记录采集人员、受检者信息等，保证信息可追溯。转运时间同样精准记录，实时跟踪标本运输状态，确保在规定时效内送达。对于上机时间，系统自动记录并提醒检验人员及时处理标本，避免延误。报告时间需严格把控，在规定期限内完成报告生成并记录。一旦出现标本采集时间超时、转运时长异常、上机延迟或报告超期等情况，系统立即启动异常上报提醒，通过短信、站内信等多渠道通知相关人员，保障标本检验流程顺畅、结果准确。</w:t>
            </w:r>
          </w:p>
        </w:tc>
        <w:tc>
          <w:tcPr>
            <w:tcW w:w="727" w:type="dxa"/>
            <w:noWrap w:val="0"/>
            <w:vAlign w:val="top"/>
          </w:tcPr>
          <w:p w14:paraId="184EB21C">
            <w:pPr>
              <w:pStyle w:val="5"/>
              <w:rPr>
                <w:rFonts w:hint="eastAsia" w:ascii="宋体" w:hAnsi="宋体" w:eastAsia="宋体" w:cs="宋体"/>
                <w:kern w:val="2"/>
                <w:sz w:val="24"/>
                <w:szCs w:val="24"/>
                <w:highlight w:val="none"/>
              </w:rPr>
            </w:pPr>
          </w:p>
        </w:tc>
      </w:tr>
      <w:tr w14:paraId="50958D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49A7FCFB">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0AB52282">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分科检查</w:t>
            </w:r>
          </w:p>
        </w:tc>
        <w:tc>
          <w:tcPr>
            <w:tcW w:w="5561" w:type="dxa"/>
            <w:noWrap w:val="0"/>
            <w:vAlign w:val="top"/>
          </w:tcPr>
          <w:p w14:paraId="3195EFBC">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科室检查：具有完善的检查结果知识库模板，医生只需勾选阳性结果后即可自动产生诊断和建议。</w:t>
            </w:r>
          </w:p>
          <w:p w14:paraId="327A546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科室小结：自动</w:t>
            </w:r>
            <w:r>
              <w:rPr>
                <w:rFonts w:hint="eastAsia" w:ascii="宋体" w:hAnsi="宋体" w:eastAsia="宋体" w:cs="宋体"/>
                <w:kern w:val="2"/>
                <w:sz w:val="24"/>
                <w:szCs w:val="24"/>
                <w:highlight w:val="none"/>
              </w:rPr>
              <w:t>汇总科室小结，</w:t>
            </w:r>
            <w:r>
              <w:rPr>
                <w:rFonts w:hint="eastAsia" w:ascii="宋体" w:hAnsi="宋体" w:eastAsia="宋体" w:cs="宋体"/>
                <w:kern w:val="2"/>
                <w:sz w:val="24"/>
                <w:szCs w:val="24"/>
                <w:highlight w:val="none"/>
                <w:lang w:val="en-US" w:eastAsia="zh-CN"/>
              </w:rPr>
              <w:t>要求</w:t>
            </w:r>
            <w:r>
              <w:rPr>
                <w:rFonts w:hint="eastAsia" w:ascii="宋体" w:hAnsi="宋体" w:eastAsia="宋体" w:cs="宋体"/>
                <w:kern w:val="2"/>
                <w:sz w:val="24"/>
                <w:szCs w:val="24"/>
                <w:highlight w:val="none"/>
              </w:rPr>
              <w:t>系统自动产生诊断和建议；并能够查看历年的检查报告。</w:t>
            </w:r>
          </w:p>
          <w:p w14:paraId="3ADF9392">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查看病史：支持在分科查看体检客户病史信息（既往史、手术史、家族史、现病史）。</w:t>
            </w:r>
          </w:p>
          <w:p w14:paraId="0C25268D">
            <w:pPr>
              <w:pStyle w:val="5"/>
              <w:numPr>
                <w:ilvl w:val="0"/>
                <w:numId w:val="2"/>
              </w:numPr>
              <w:ind w:left="0" w:leftChars="0" w:firstLine="0" w:firstLineChars="0"/>
              <w:rPr>
                <w:rFonts w:hint="eastAsia" w:ascii="宋体" w:hAnsi="宋体" w:eastAsia="宋体" w:cs="宋体"/>
                <w:kern w:val="2"/>
                <w:sz w:val="24"/>
                <w:szCs w:val="24"/>
                <w:highlight w:val="none"/>
                <w:lang w:eastAsia="zh-CN"/>
              </w:rPr>
            </w:pPr>
            <w:r>
              <w:rPr>
                <w:rFonts w:hint="eastAsia" w:ascii="宋体" w:hAnsi="宋体" w:eastAsia="宋体" w:cs="宋体"/>
                <w:kern w:val="2"/>
                <w:sz w:val="24"/>
                <w:szCs w:val="24"/>
                <w:highlight w:val="none"/>
              </w:rPr>
              <w:t>科室条码：针对妇科、呼气试验等需要条码的要能够支持在科室检查诊室打印出条码</w:t>
            </w:r>
            <w:r>
              <w:rPr>
                <w:rFonts w:hint="eastAsia" w:ascii="宋体" w:hAnsi="宋体" w:eastAsia="宋体" w:cs="宋体"/>
                <w:kern w:val="2"/>
                <w:sz w:val="24"/>
                <w:szCs w:val="24"/>
                <w:highlight w:val="none"/>
                <w:lang w:eastAsia="zh-CN"/>
              </w:rPr>
              <w:t>。</w:t>
            </w:r>
          </w:p>
        </w:tc>
        <w:tc>
          <w:tcPr>
            <w:tcW w:w="727" w:type="dxa"/>
            <w:noWrap w:val="0"/>
            <w:vAlign w:val="top"/>
          </w:tcPr>
          <w:p w14:paraId="33AF1E7C">
            <w:pPr>
              <w:pStyle w:val="5"/>
              <w:rPr>
                <w:rFonts w:hint="eastAsia" w:ascii="宋体" w:hAnsi="宋体" w:eastAsia="宋体" w:cs="宋体"/>
                <w:kern w:val="2"/>
                <w:sz w:val="24"/>
                <w:szCs w:val="24"/>
                <w:highlight w:val="none"/>
              </w:rPr>
            </w:pPr>
          </w:p>
        </w:tc>
      </w:tr>
      <w:tr w14:paraId="3D53551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4AB2BF08">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6A41EA91">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分科质控</w:t>
            </w:r>
          </w:p>
        </w:tc>
        <w:tc>
          <w:tcPr>
            <w:tcW w:w="5561" w:type="dxa"/>
            <w:noWrap w:val="0"/>
            <w:vAlign w:val="top"/>
          </w:tcPr>
          <w:p w14:paraId="4ECDADFE">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具备分科质控能力，支持科室小结性别敏感词的提醒和检查项目结果比对提醒以及异常数值的校验提醒功能。</w:t>
            </w:r>
          </w:p>
          <w:p w14:paraId="6F4A3147">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历史比对：本科室历年报告的对比提醒，本科室历年报告不一致提醒。</w:t>
            </w:r>
          </w:p>
          <w:p w14:paraId="0FED2CD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具备投诉处理能力，对有过投诉的体检人员进行管理，并在开单、分科环节进行醒目提醒工作医生。</w:t>
            </w:r>
          </w:p>
          <w:p w14:paraId="366E514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分科报告超时管理：科室医生未在规定时间内完成报告书写，系统可汇总，如内外科需当天录入报告，如有未书写的；</w:t>
            </w:r>
          </w:p>
        </w:tc>
        <w:tc>
          <w:tcPr>
            <w:tcW w:w="727" w:type="dxa"/>
            <w:noWrap w:val="0"/>
            <w:vAlign w:val="top"/>
          </w:tcPr>
          <w:p w14:paraId="3E8D5119">
            <w:pPr>
              <w:pStyle w:val="5"/>
              <w:rPr>
                <w:rFonts w:hint="eastAsia" w:ascii="宋体" w:hAnsi="宋体" w:eastAsia="宋体" w:cs="宋体"/>
                <w:kern w:val="2"/>
                <w:sz w:val="24"/>
                <w:szCs w:val="24"/>
                <w:highlight w:val="none"/>
              </w:rPr>
            </w:pPr>
          </w:p>
        </w:tc>
      </w:tr>
      <w:tr w14:paraId="4C317C4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6C8441D2">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57117300">
            <w:pPr>
              <w:widowControl/>
              <w:jc w:val="both"/>
              <w:textAlignment w:val="center"/>
              <w:rPr>
                <w:rFonts w:hint="eastAsia" w:ascii="宋体" w:hAnsi="宋体" w:eastAsia="宋体" w:cs="宋体"/>
                <w:sz w:val="24"/>
                <w:szCs w:val="24"/>
                <w:highlight w:val="none"/>
              </w:rPr>
            </w:pPr>
            <w:r>
              <w:rPr>
                <w:rStyle w:val="6"/>
                <w:rFonts w:hint="eastAsia" w:ascii="宋体" w:hAnsi="宋体" w:eastAsia="宋体" w:cs="宋体"/>
                <w:color w:val="auto"/>
                <w:sz w:val="24"/>
                <w:szCs w:val="24"/>
                <w:highlight w:val="none"/>
              </w:rPr>
              <w:t>检中增项</w:t>
            </w:r>
          </w:p>
        </w:tc>
        <w:tc>
          <w:tcPr>
            <w:tcW w:w="5561" w:type="dxa"/>
            <w:noWrap w:val="0"/>
            <w:vAlign w:val="top"/>
          </w:tcPr>
          <w:p w14:paraId="3875ED0D">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检查过程中医生可以根据体检客户的检查情况随时新增建议进一步检查的项目，方便前台开单处快速新增体检项目。</w:t>
            </w:r>
          </w:p>
          <w:p w14:paraId="48DF37B2">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具备诊间支付功能，支持对接扫码线上支付功能，避免体检客户在科室和缴费处来回跑。</w:t>
            </w:r>
          </w:p>
        </w:tc>
        <w:tc>
          <w:tcPr>
            <w:tcW w:w="727" w:type="dxa"/>
            <w:noWrap w:val="0"/>
            <w:vAlign w:val="top"/>
          </w:tcPr>
          <w:p w14:paraId="703404F3">
            <w:pPr>
              <w:pStyle w:val="5"/>
              <w:rPr>
                <w:rFonts w:hint="eastAsia" w:ascii="宋体" w:hAnsi="宋体" w:eastAsia="宋体" w:cs="宋体"/>
                <w:kern w:val="2"/>
                <w:sz w:val="24"/>
                <w:szCs w:val="24"/>
                <w:highlight w:val="none"/>
              </w:rPr>
            </w:pPr>
          </w:p>
        </w:tc>
      </w:tr>
      <w:tr w14:paraId="3B833C8D">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3A579D4E">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75786B1C">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指引回收</w:t>
            </w:r>
          </w:p>
        </w:tc>
        <w:tc>
          <w:tcPr>
            <w:tcW w:w="5561" w:type="dxa"/>
            <w:noWrap w:val="0"/>
            <w:vAlign w:val="top"/>
          </w:tcPr>
          <w:p w14:paraId="70BEEC1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要有积案处理功能：体检当天未交表或部分项目未检完，后台可查询，弃检要有电子签名留痕。</w:t>
            </w:r>
          </w:p>
          <w:p w14:paraId="3D3B7344">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体检完成结束后，具有指引单回收功能，可记录收单操作人员和操作时间。支持当场做体检项目的弃检操作。</w:t>
            </w:r>
          </w:p>
          <w:p w14:paraId="54807F47">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针对体检项目无法当天一次性完成的，可设置项目为补检，体检客户后续需完成全部项目方可进入总检总审环节，项目未完成会一直处于“积案”状态。</w:t>
            </w:r>
          </w:p>
          <w:p w14:paraId="2D69BF75">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如果某些项目没法在短期内完成的可设置成延检，设置后其余项目可先完成总检总审，延期项目后续能够单独做检查、单独出报告，要求项目设置为延检后，报告不会进入到“积案”状态。</w:t>
            </w:r>
          </w:p>
        </w:tc>
        <w:tc>
          <w:tcPr>
            <w:tcW w:w="727" w:type="dxa"/>
            <w:noWrap w:val="0"/>
            <w:vAlign w:val="top"/>
          </w:tcPr>
          <w:p w14:paraId="00E590AC">
            <w:pPr>
              <w:pStyle w:val="5"/>
              <w:rPr>
                <w:rFonts w:hint="eastAsia" w:ascii="宋体" w:hAnsi="宋体" w:eastAsia="宋体" w:cs="宋体"/>
                <w:kern w:val="2"/>
                <w:sz w:val="24"/>
                <w:szCs w:val="24"/>
                <w:highlight w:val="none"/>
              </w:rPr>
            </w:pPr>
          </w:p>
        </w:tc>
      </w:tr>
      <w:tr w14:paraId="5DE1C46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09B4CB17">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28F097FF">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个人体检报告</w:t>
            </w:r>
          </w:p>
        </w:tc>
        <w:tc>
          <w:tcPr>
            <w:tcW w:w="5561" w:type="dxa"/>
            <w:noWrap w:val="0"/>
            <w:vAlign w:val="top"/>
          </w:tcPr>
          <w:p w14:paraId="0C8C548C">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报告货架：支持报告领取发放管理，如自动识别报告领取架号。</w:t>
            </w:r>
          </w:p>
          <w:p w14:paraId="065803B9">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报告打印：支持按照个人、单位、日期条件批量打印体检报告。</w:t>
            </w:r>
          </w:p>
          <w:p w14:paraId="1601313F">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报告通知：支持总检后通过医院短信接口自动发送短信通知。</w:t>
            </w:r>
          </w:p>
          <w:p w14:paraId="202895D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报告领取：支持个人体检报告的领取及代领可记录领取标记（要求有签字、备注功能）。</w:t>
            </w:r>
          </w:p>
          <w:p w14:paraId="4FDC8E4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批量领取：支持单位体检报告的批量领取，打印出领取单签字。</w:t>
            </w:r>
          </w:p>
          <w:p w14:paraId="31FF351C">
            <w:pPr>
              <w:pStyle w:val="5"/>
              <w:numPr>
                <w:ilvl w:val="0"/>
                <w:numId w:val="2"/>
              </w:numPr>
              <w:ind w:left="0" w:leftChars="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rPr>
              <w:t>报告导出：具有单份报告或批量报告的PDF格式导出功能。</w:t>
            </w:r>
          </w:p>
        </w:tc>
        <w:tc>
          <w:tcPr>
            <w:tcW w:w="727" w:type="dxa"/>
            <w:noWrap w:val="0"/>
            <w:vAlign w:val="top"/>
          </w:tcPr>
          <w:p w14:paraId="6EB8ABBA">
            <w:pPr>
              <w:pStyle w:val="5"/>
              <w:rPr>
                <w:rFonts w:hint="eastAsia" w:ascii="宋体" w:hAnsi="宋体" w:eastAsia="宋体" w:cs="宋体"/>
                <w:kern w:val="2"/>
                <w:sz w:val="24"/>
                <w:szCs w:val="24"/>
                <w:highlight w:val="none"/>
              </w:rPr>
            </w:pPr>
          </w:p>
        </w:tc>
      </w:tr>
      <w:tr w14:paraId="7AC8A64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03411026">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4EE1DDC9">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团体报告综述</w:t>
            </w:r>
          </w:p>
        </w:tc>
        <w:tc>
          <w:tcPr>
            <w:tcW w:w="5561" w:type="dxa"/>
            <w:noWrap w:val="0"/>
            <w:vAlign w:val="top"/>
          </w:tcPr>
          <w:p w14:paraId="11BA7E2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能够实现团队报告汇总并汇集成带有目录的单位职工体检档案册。</w:t>
            </w:r>
          </w:p>
          <w:p w14:paraId="1A8C64AD">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支持团检阳性报告结论导出，支持根据健康检查单位需求对团体健康检查单位汇总分析，自动呈现结构化文字报告、图文报告及异常项统计，支持团检报告（Word）批量导出；</w:t>
            </w:r>
          </w:p>
          <w:p w14:paraId="50564815">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支持单位体检人员构成、性别比例、年龄段比例分析；</w:t>
            </w:r>
          </w:p>
          <w:p w14:paraId="5C47D6C4">
            <w:pPr>
              <w:pStyle w:val="5"/>
              <w:numPr>
                <w:ilvl w:val="0"/>
                <w:numId w:val="2"/>
              </w:numPr>
              <w:ind w:left="0" w:leftChars="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rPr>
              <w:t>支持生成异常健康检查结论的前10，前20排名；支持异常结论的各个年龄段分析及健康宣教知识；</w:t>
            </w:r>
          </w:p>
        </w:tc>
        <w:tc>
          <w:tcPr>
            <w:tcW w:w="727" w:type="dxa"/>
            <w:noWrap w:val="0"/>
            <w:vAlign w:val="center"/>
          </w:tcPr>
          <w:p w14:paraId="0492F941">
            <w:pPr>
              <w:widowControl/>
              <w:jc w:val="center"/>
              <w:textAlignment w:val="center"/>
              <w:rPr>
                <w:rFonts w:hint="eastAsia" w:ascii="宋体" w:hAnsi="宋体" w:eastAsia="宋体" w:cs="宋体"/>
                <w:sz w:val="24"/>
                <w:szCs w:val="24"/>
                <w:highlight w:val="none"/>
              </w:rPr>
            </w:pPr>
          </w:p>
        </w:tc>
      </w:tr>
      <w:tr w14:paraId="63248BD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475A14BE">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2F8CCC44">
            <w:pPr>
              <w:widowControl/>
              <w:jc w:val="both"/>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szCs w:val="24"/>
                <w:highlight w:val="none"/>
              </w:rPr>
              <w:t>重要异常结果上报</w:t>
            </w:r>
          </w:p>
        </w:tc>
        <w:tc>
          <w:tcPr>
            <w:tcW w:w="5561" w:type="dxa"/>
            <w:noWrap w:val="0"/>
            <w:vAlign w:val="top"/>
          </w:tcPr>
          <w:p w14:paraId="36203F7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要求能够按《健康体检重要异常结果管理专家共识》标准实现重要异常上报，危急值A类、B类能自行设置好。</w:t>
            </w:r>
          </w:p>
          <w:p w14:paraId="368F9FAE">
            <w:pPr>
              <w:pStyle w:val="5"/>
              <w:numPr>
                <w:ilvl w:val="0"/>
                <w:numId w:val="2"/>
              </w:numPr>
              <w:ind w:left="0" w:leftChars="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rPr>
              <w:t>支持在分科进行重要异常结果的上报；有危急值警示标志及短信或电话通知功能，</w:t>
            </w:r>
          </w:p>
        </w:tc>
        <w:tc>
          <w:tcPr>
            <w:tcW w:w="727" w:type="dxa"/>
            <w:noWrap w:val="0"/>
            <w:vAlign w:val="center"/>
          </w:tcPr>
          <w:p w14:paraId="5AB034CE">
            <w:pPr>
              <w:widowControl/>
              <w:jc w:val="center"/>
              <w:textAlignment w:val="center"/>
              <w:rPr>
                <w:rFonts w:hint="eastAsia" w:ascii="宋体" w:hAnsi="宋体" w:eastAsia="宋体" w:cs="宋体"/>
                <w:sz w:val="24"/>
                <w:szCs w:val="24"/>
                <w:highlight w:val="none"/>
              </w:rPr>
            </w:pPr>
          </w:p>
        </w:tc>
      </w:tr>
      <w:tr w14:paraId="0DDD973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68F61050">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519DE327">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rPr>
              <w:t>后台维护</w:t>
            </w:r>
          </w:p>
        </w:tc>
        <w:tc>
          <w:tcPr>
            <w:tcW w:w="5561" w:type="dxa"/>
            <w:noWrap w:val="0"/>
            <w:vAlign w:val="top"/>
          </w:tcPr>
          <w:p w14:paraId="59FD268B">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支持价格同步功能，如与门诊同步体检项目套餐内容和价格，无需再额外维护，做到门诊调价后体检同步提醒。</w:t>
            </w:r>
          </w:p>
          <w:p w14:paraId="6365C877">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字典维护：维护体检中心的基础信息、比如体检类型、人员类型、医院</w:t>
            </w:r>
            <w:r>
              <w:rPr>
                <w:rFonts w:hint="eastAsia" w:ascii="宋体" w:hAnsi="宋体" w:eastAsia="宋体" w:cs="宋体"/>
                <w:kern w:val="2"/>
                <w:sz w:val="24"/>
                <w:szCs w:val="24"/>
                <w:highlight w:val="none"/>
                <w:lang w:val="en-US" w:eastAsia="zh-CN"/>
              </w:rPr>
              <w:t>机构</w:t>
            </w:r>
            <w:r>
              <w:rPr>
                <w:rFonts w:hint="eastAsia" w:ascii="宋体" w:hAnsi="宋体" w:eastAsia="宋体" w:cs="宋体"/>
                <w:kern w:val="2"/>
                <w:sz w:val="24"/>
                <w:szCs w:val="24"/>
                <w:highlight w:val="none"/>
              </w:rPr>
              <w:t>的基础信息。</w:t>
            </w:r>
          </w:p>
          <w:p w14:paraId="6CDB7D0C">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维护员工的登录用户名和密码，每个人一个账户。</w:t>
            </w:r>
          </w:p>
          <w:p w14:paraId="66EBDA6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维护体检中心的收费项目和相关设置，如收费项目属性、冲突项目。维护体检的分科、总检结论词条。</w:t>
            </w:r>
          </w:p>
          <w:p w14:paraId="09B0CED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权限控制：实现以菜单界面控件及特殊权限分配，实现通用化权限及特殊化权限功能。</w:t>
            </w:r>
          </w:p>
          <w:p w14:paraId="3381BB22">
            <w:pPr>
              <w:pStyle w:val="5"/>
              <w:numPr>
                <w:ilvl w:val="0"/>
                <w:numId w:val="2"/>
              </w:numPr>
              <w:ind w:left="0" w:leftChars="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rPr>
              <w:t>系统日志：对各用户、各应用程序操作进行日志记录，并可按时间、身份证号、操作人等条件进行查阅（软件客户端时间以服务器时间为准，若时间不符合，系统给予提示）。</w:t>
            </w:r>
          </w:p>
        </w:tc>
        <w:tc>
          <w:tcPr>
            <w:tcW w:w="727" w:type="dxa"/>
            <w:noWrap w:val="0"/>
            <w:vAlign w:val="center"/>
          </w:tcPr>
          <w:p w14:paraId="57AF4F1B">
            <w:pPr>
              <w:widowControl/>
              <w:jc w:val="center"/>
              <w:textAlignment w:val="center"/>
              <w:rPr>
                <w:rFonts w:hint="eastAsia" w:ascii="宋体" w:hAnsi="宋体" w:eastAsia="宋体" w:cs="宋体"/>
                <w:sz w:val="24"/>
                <w:szCs w:val="24"/>
                <w:highlight w:val="none"/>
              </w:rPr>
            </w:pPr>
          </w:p>
        </w:tc>
      </w:tr>
      <w:tr w14:paraId="774DA61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361B737C">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0432F938">
            <w:pPr>
              <w:widowControl/>
              <w:jc w:val="both"/>
              <w:textAlignment w:val="center"/>
              <w:rPr>
                <w:rFonts w:hint="eastAsia" w:ascii="宋体" w:hAnsi="宋体" w:eastAsia="宋体" w:cs="宋体"/>
                <w:sz w:val="24"/>
                <w:szCs w:val="24"/>
                <w:highlight w:val="none"/>
                <w:lang w:val="en-US" w:eastAsia="zh-CN"/>
              </w:rPr>
            </w:pPr>
            <w:r>
              <w:rPr>
                <w:rStyle w:val="6"/>
                <w:rFonts w:hint="eastAsia" w:ascii="宋体" w:hAnsi="宋体" w:eastAsia="宋体" w:cs="宋体"/>
                <w:color w:val="auto"/>
                <w:sz w:val="24"/>
                <w:szCs w:val="24"/>
                <w:highlight w:val="none"/>
                <w:lang w:val="en-US" w:eastAsia="zh-CN"/>
              </w:rPr>
              <w:t>智能主检</w:t>
            </w:r>
            <w:r>
              <w:rPr>
                <w:rStyle w:val="6"/>
                <w:rFonts w:hint="eastAsia" w:ascii="宋体" w:hAnsi="宋体" w:eastAsia="宋体" w:cs="宋体"/>
                <w:color w:val="auto"/>
                <w:sz w:val="24"/>
                <w:szCs w:val="24"/>
                <w:highlight w:val="none"/>
              </w:rPr>
              <w:t>-总检</w:t>
            </w:r>
            <w:r>
              <w:rPr>
                <w:rStyle w:val="6"/>
                <w:rFonts w:hint="eastAsia" w:ascii="宋体" w:hAnsi="宋体" w:eastAsia="宋体" w:cs="宋体"/>
                <w:color w:val="auto"/>
                <w:sz w:val="24"/>
                <w:szCs w:val="24"/>
                <w:highlight w:val="none"/>
                <w:lang w:val="en-US" w:eastAsia="zh-CN"/>
              </w:rPr>
              <w:t>管理</w:t>
            </w:r>
          </w:p>
        </w:tc>
        <w:tc>
          <w:tcPr>
            <w:tcW w:w="5561" w:type="dxa"/>
            <w:noWrap w:val="0"/>
            <w:vAlign w:val="top"/>
          </w:tcPr>
          <w:p w14:paraId="701E2D98">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自动汇总：实现自动汇总科室小结形成报告综述，支持查看各科室项目结果，医学影像图像，历史检查结果的对比。对体检中出现的异常指标以显著的标示予以提示。</w:t>
            </w:r>
          </w:p>
          <w:p w14:paraId="04646D7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健康建议：支持修改健康建议，添加结论词和健康建议；具有体检结论搜索功能，如输入拼音能够显示相关体检结论名称。</w:t>
            </w:r>
          </w:p>
          <w:p w14:paraId="38360485">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智能算法：具备智能算法实现自动识别异常指标，自动合并可合并的体检结论，能够实现自动排序功能。</w:t>
            </w:r>
          </w:p>
          <w:p w14:paraId="146C45C5">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智能学习：要求能够学习科室总检主任的总检习惯，如不同异常指标相关性的自动合并。</w:t>
            </w:r>
          </w:p>
          <w:p w14:paraId="18B0E69A">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总检退回：支持对总检报告进行解锁（退回）等操作，退回要求可书写退回原因方便追溯管理。</w:t>
            </w:r>
          </w:p>
          <w:p w14:paraId="05153CD9">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体检建议：体检总检报告要求具有下一年度建议检查的项目清单汇总。</w:t>
            </w:r>
          </w:p>
        </w:tc>
        <w:tc>
          <w:tcPr>
            <w:tcW w:w="727" w:type="dxa"/>
            <w:noWrap w:val="0"/>
            <w:vAlign w:val="center"/>
          </w:tcPr>
          <w:p w14:paraId="53F5862E">
            <w:pPr>
              <w:widowControl/>
              <w:jc w:val="center"/>
              <w:textAlignment w:val="center"/>
              <w:rPr>
                <w:rFonts w:hint="eastAsia" w:ascii="宋体" w:hAnsi="宋体" w:eastAsia="宋体" w:cs="宋体"/>
                <w:sz w:val="24"/>
                <w:szCs w:val="24"/>
                <w:highlight w:val="none"/>
              </w:rPr>
            </w:pPr>
          </w:p>
        </w:tc>
      </w:tr>
      <w:tr w14:paraId="52279FD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69966986">
            <w:pPr>
              <w:widowControl/>
              <w:numPr>
                <w:ilvl w:val="0"/>
                <w:numId w:val="1"/>
              </w:numPr>
              <w:ind w:left="425" w:leftChars="0" w:hanging="425" w:firstLineChars="0"/>
              <w:jc w:val="center"/>
              <w:textAlignment w:val="center"/>
              <w:rPr>
                <w:rFonts w:hint="eastAsia" w:ascii="宋体" w:hAnsi="宋体" w:eastAsia="宋体" w:cs="宋体"/>
                <w:kern w:val="2"/>
                <w:sz w:val="24"/>
                <w:szCs w:val="24"/>
                <w:highlight w:val="none"/>
                <w:lang w:val="en-US" w:eastAsia="zh-CN" w:bidi="ar-SA"/>
              </w:rPr>
            </w:pPr>
          </w:p>
        </w:tc>
        <w:tc>
          <w:tcPr>
            <w:tcW w:w="1379" w:type="dxa"/>
            <w:noWrap w:val="0"/>
            <w:vAlign w:val="center"/>
          </w:tcPr>
          <w:p w14:paraId="595FEA35">
            <w:pPr>
              <w:widowControl/>
              <w:jc w:val="both"/>
              <w:textAlignment w:val="center"/>
              <w:rPr>
                <w:rFonts w:hint="eastAsia" w:ascii="宋体" w:hAnsi="宋体" w:eastAsia="宋体" w:cs="宋体"/>
                <w:kern w:val="2"/>
                <w:sz w:val="24"/>
                <w:szCs w:val="24"/>
                <w:highlight w:val="none"/>
                <w:lang w:val="en-US" w:eastAsia="zh-CN" w:bidi="ar-SA"/>
              </w:rPr>
            </w:pPr>
            <w:r>
              <w:rPr>
                <w:rFonts w:hint="eastAsia" w:ascii="宋体" w:hAnsi="宋体" w:eastAsia="宋体" w:cs="宋体"/>
                <w:sz w:val="24"/>
                <w:szCs w:val="24"/>
                <w:highlight w:val="none"/>
                <w:lang w:val="en-US" w:eastAsia="zh-CN"/>
              </w:rPr>
              <w:t>智能主检</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结果提取</w:t>
            </w:r>
          </w:p>
        </w:tc>
        <w:tc>
          <w:tcPr>
            <w:tcW w:w="5561" w:type="dxa"/>
            <w:noWrap w:val="0"/>
            <w:vAlign w:val="top"/>
          </w:tcPr>
          <w:p w14:paraId="432882F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具备智能总检功能，体检总检库要全面（根据最新指南更新），审核报告界面能够分类排序。</w:t>
            </w:r>
          </w:p>
          <w:p w14:paraId="1B524229">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深度契合 “健康体检主检报告撰写专家共识”，系统要具备强大的数据整合能力，将各类检查数据快速汇总。能精准剖析数据，生成符合</w:t>
            </w:r>
            <w:r>
              <w:rPr>
                <w:rFonts w:hint="eastAsia" w:ascii="宋体" w:hAnsi="宋体" w:eastAsia="宋体" w:cs="宋体"/>
                <w:kern w:val="2"/>
                <w:sz w:val="24"/>
                <w:szCs w:val="24"/>
                <w:highlight w:val="none"/>
                <w:lang w:val="en-US" w:eastAsia="zh-CN"/>
              </w:rPr>
              <w:t>四段落</w:t>
            </w:r>
            <w:r>
              <w:rPr>
                <w:rFonts w:hint="eastAsia" w:ascii="宋体" w:hAnsi="宋体" w:eastAsia="宋体" w:cs="宋体"/>
                <w:kern w:val="2"/>
                <w:sz w:val="24"/>
                <w:szCs w:val="24"/>
                <w:highlight w:val="none"/>
              </w:rPr>
              <w:t>规范的报告。</w:t>
            </w:r>
          </w:p>
          <w:p w14:paraId="526262A7">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结论合并：支持自动合并，手动合并，生成新的结论和健康建议；</w:t>
            </w:r>
          </w:p>
          <w:p w14:paraId="707940D8">
            <w:pPr>
              <w:pStyle w:val="5"/>
              <w:numPr>
                <w:ilvl w:val="0"/>
                <w:numId w:val="2"/>
              </w:numPr>
              <w:ind w:left="0" w:leftChars="0" w:firstLine="0" w:firstLineChars="0"/>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rPr>
              <w:t>能够实现体检客户近三年（或近三次）体检数据对比，</w:t>
            </w:r>
            <w:r>
              <w:rPr>
                <w:rFonts w:hint="eastAsia" w:ascii="宋体" w:hAnsi="宋体" w:eastAsia="宋体" w:cs="宋体"/>
                <w:kern w:val="2"/>
                <w:sz w:val="24"/>
                <w:szCs w:val="24"/>
                <w:highlight w:val="none"/>
                <w:lang w:val="en-US" w:eastAsia="zh-CN"/>
              </w:rPr>
              <w:t>支持提取检验项目结果数值或对比结果并显示在体检报告上</w:t>
            </w:r>
            <w:r>
              <w:rPr>
                <w:rFonts w:hint="eastAsia" w:ascii="宋体" w:hAnsi="宋体" w:eastAsia="宋体" w:cs="宋体"/>
                <w:kern w:val="2"/>
                <w:sz w:val="24"/>
                <w:szCs w:val="24"/>
                <w:highlight w:val="none"/>
              </w:rPr>
              <w:t>。</w:t>
            </w:r>
          </w:p>
        </w:tc>
        <w:tc>
          <w:tcPr>
            <w:tcW w:w="727" w:type="dxa"/>
            <w:noWrap w:val="0"/>
            <w:vAlign w:val="center"/>
          </w:tcPr>
          <w:p w14:paraId="1534EDEB">
            <w:pPr>
              <w:widowControl/>
              <w:jc w:val="center"/>
              <w:textAlignment w:val="center"/>
              <w:rPr>
                <w:rFonts w:hint="eastAsia" w:ascii="宋体" w:hAnsi="宋体" w:eastAsia="宋体" w:cs="宋体"/>
                <w:kern w:val="2"/>
                <w:sz w:val="24"/>
                <w:szCs w:val="24"/>
                <w:highlight w:val="none"/>
                <w:lang w:val="en-US" w:eastAsia="zh-CN" w:bidi="ar-SA"/>
              </w:rPr>
            </w:pPr>
          </w:p>
        </w:tc>
      </w:tr>
      <w:tr w14:paraId="7C146F1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143C95CA">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eastAsia="zh-CN"/>
              </w:rPr>
            </w:pPr>
          </w:p>
        </w:tc>
        <w:tc>
          <w:tcPr>
            <w:tcW w:w="1379" w:type="dxa"/>
            <w:noWrap w:val="0"/>
            <w:vAlign w:val="center"/>
          </w:tcPr>
          <w:p w14:paraId="78C90AF7">
            <w:pPr>
              <w:widowControl/>
              <w:jc w:val="both"/>
              <w:textAlignment w:val="center"/>
              <w:rPr>
                <w:rFonts w:hint="eastAsia" w:ascii="宋体" w:hAnsi="宋体" w:eastAsia="宋体" w:cs="宋体"/>
                <w:sz w:val="24"/>
                <w:szCs w:val="24"/>
                <w:highlight w:val="none"/>
              </w:rPr>
            </w:pPr>
            <w:r>
              <w:rPr>
                <w:rStyle w:val="6"/>
                <w:rFonts w:hint="eastAsia" w:ascii="宋体" w:hAnsi="宋体" w:eastAsia="宋体" w:cs="宋体"/>
                <w:color w:val="auto"/>
                <w:sz w:val="24"/>
                <w:szCs w:val="24"/>
                <w:highlight w:val="none"/>
                <w:lang w:val="en-US" w:eastAsia="zh-CN"/>
              </w:rPr>
              <w:t>智能主检</w:t>
            </w:r>
            <w:r>
              <w:rPr>
                <w:rStyle w:val="6"/>
                <w:rFonts w:hint="eastAsia" w:ascii="宋体" w:hAnsi="宋体" w:eastAsia="宋体" w:cs="宋体"/>
                <w:color w:val="auto"/>
                <w:sz w:val="24"/>
                <w:szCs w:val="24"/>
                <w:highlight w:val="none"/>
              </w:rPr>
              <w:t>-总审管理</w:t>
            </w:r>
          </w:p>
        </w:tc>
        <w:tc>
          <w:tcPr>
            <w:tcW w:w="5561" w:type="dxa"/>
            <w:noWrap w:val="0"/>
            <w:vAlign w:val="top"/>
          </w:tcPr>
          <w:p w14:paraId="381FB8E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支持总检完成后能够在电脑上进行总审，并能对该份报告退回到总检，并可以书写退回原因等操作，实现无纸化或低纸化。</w:t>
            </w:r>
          </w:p>
          <w:p w14:paraId="53383F95">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可查询总检退回的份数和原因，以便进行绩效的考核。</w:t>
            </w:r>
          </w:p>
        </w:tc>
        <w:tc>
          <w:tcPr>
            <w:tcW w:w="727" w:type="dxa"/>
            <w:noWrap w:val="0"/>
            <w:vAlign w:val="center"/>
          </w:tcPr>
          <w:p w14:paraId="0E50975C">
            <w:pPr>
              <w:widowControl/>
              <w:jc w:val="center"/>
              <w:textAlignment w:val="center"/>
              <w:rPr>
                <w:rFonts w:hint="eastAsia" w:ascii="宋体" w:hAnsi="宋体" w:eastAsia="宋体" w:cs="宋体"/>
                <w:sz w:val="24"/>
                <w:szCs w:val="24"/>
                <w:highlight w:val="none"/>
              </w:rPr>
            </w:pPr>
          </w:p>
        </w:tc>
      </w:tr>
      <w:tr w14:paraId="7969CB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C6AABBD">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eastAsia="zh-CN"/>
              </w:rPr>
            </w:pPr>
          </w:p>
        </w:tc>
        <w:tc>
          <w:tcPr>
            <w:tcW w:w="1379" w:type="dxa"/>
            <w:noWrap w:val="0"/>
            <w:vAlign w:val="center"/>
          </w:tcPr>
          <w:p w14:paraId="549624F3">
            <w:pPr>
              <w:widowControl/>
              <w:jc w:val="both"/>
              <w:textAlignment w:val="center"/>
              <w:rPr>
                <w:rFonts w:hint="eastAsia" w:ascii="宋体" w:hAnsi="宋体" w:eastAsia="宋体" w:cs="宋体"/>
                <w:color w:val="auto"/>
                <w:sz w:val="24"/>
                <w:szCs w:val="24"/>
                <w:highlight w:val="none"/>
              </w:rPr>
            </w:pPr>
            <w:r>
              <w:rPr>
                <w:rStyle w:val="6"/>
                <w:rFonts w:hint="eastAsia" w:ascii="宋体" w:hAnsi="宋体" w:eastAsia="宋体" w:cs="宋体"/>
                <w:color w:val="auto"/>
                <w:sz w:val="24"/>
                <w:szCs w:val="24"/>
                <w:highlight w:val="none"/>
              </w:rPr>
              <w:t>检后服务-重要异常结果管理</w:t>
            </w:r>
          </w:p>
        </w:tc>
        <w:tc>
          <w:tcPr>
            <w:tcW w:w="5561" w:type="dxa"/>
            <w:noWrap w:val="0"/>
            <w:vAlign w:val="top"/>
          </w:tcPr>
          <w:p w14:paraId="31CB3843">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rPr>
              <w:t>贴合“健康检查重要异常结果管理专家共识”要求，具备以下核心功能：一是精准识别与分类体检报告中的重要异常结果，确保无遗漏；二是依据专家共识为每项异常结果提供标准化处理建议，辅助医生决策；三是实现对异常结果的全程追踪，定期自动提醒受检者复查，并记录复查情况；四是支持与受检者的沟通记录功能，确保信息完整可追溯。</w:t>
            </w:r>
          </w:p>
          <w:p w14:paraId="257F8882">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根据体检日期、体检类型、团体名称等条件进行筛选并分配给相应的健康师进行回访；</w:t>
            </w:r>
          </w:p>
          <w:p w14:paraId="7F25D6CF">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回访过程可记录回访的日期、回访事项、回访满意度；</w:t>
            </w:r>
          </w:p>
          <w:p w14:paraId="01C661AC">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对于有二次追踪需求的体检者可设置下一次的追踪日期并自动提醒进行下一次的回访。</w:t>
            </w:r>
          </w:p>
        </w:tc>
        <w:tc>
          <w:tcPr>
            <w:tcW w:w="727" w:type="dxa"/>
            <w:noWrap w:val="0"/>
            <w:vAlign w:val="center"/>
          </w:tcPr>
          <w:p w14:paraId="66DDDE46">
            <w:pPr>
              <w:widowControl/>
              <w:jc w:val="left"/>
              <w:textAlignment w:val="center"/>
              <w:rPr>
                <w:rFonts w:hint="eastAsia" w:ascii="宋体" w:hAnsi="宋体" w:eastAsia="宋体" w:cs="宋体"/>
                <w:sz w:val="24"/>
                <w:szCs w:val="24"/>
                <w:highlight w:val="none"/>
              </w:rPr>
            </w:pPr>
          </w:p>
        </w:tc>
      </w:tr>
      <w:tr w14:paraId="75747FF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5ED70FC4">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0EC9CADC">
            <w:pPr>
              <w:widowControl/>
              <w:jc w:val="both"/>
              <w:textAlignment w:val="center"/>
              <w:rPr>
                <w:rFonts w:hint="eastAsia" w:ascii="宋体" w:hAnsi="宋体" w:eastAsia="宋体" w:cs="宋体"/>
                <w:sz w:val="24"/>
                <w:szCs w:val="24"/>
                <w:highlight w:val="none"/>
                <w:lang w:val="en-US" w:eastAsia="zh-CN"/>
              </w:rPr>
            </w:pPr>
            <w:r>
              <w:rPr>
                <w:rStyle w:val="6"/>
                <w:rFonts w:hint="eastAsia" w:ascii="宋体" w:hAnsi="宋体" w:eastAsia="宋体" w:cs="宋体"/>
                <w:color w:val="auto"/>
                <w:sz w:val="24"/>
                <w:szCs w:val="24"/>
                <w:highlight w:val="none"/>
              </w:rPr>
              <w:t>检后服务-随访</w:t>
            </w:r>
            <w:r>
              <w:rPr>
                <w:rStyle w:val="6"/>
                <w:rFonts w:hint="eastAsia" w:ascii="宋体" w:hAnsi="宋体" w:eastAsia="宋体" w:cs="宋体"/>
                <w:color w:val="auto"/>
                <w:sz w:val="24"/>
                <w:szCs w:val="24"/>
                <w:highlight w:val="none"/>
                <w:lang w:val="en-US" w:eastAsia="zh-CN"/>
              </w:rPr>
              <w:t>管理</w:t>
            </w:r>
          </w:p>
        </w:tc>
        <w:tc>
          <w:tcPr>
            <w:tcW w:w="5561" w:type="dxa"/>
            <w:noWrap w:val="0"/>
            <w:vAlign w:val="top"/>
          </w:tcPr>
          <w:p w14:paraId="5BF29F0E">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实现检后基本</w:t>
            </w:r>
            <w:r>
              <w:rPr>
                <w:rFonts w:hint="eastAsia" w:ascii="宋体" w:hAnsi="宋体" w:eastAsia="宋体" w:cs="宋体"/>
                <w:kern w:val="2"/>
                <w:sz w:val="24"/>
                <w:szCs w:val="24"/>
                <w:highlight w:val="none"/>
                <w:lang w:val="en-US" w:eastAsia="zh-CN"/>
              </w:rPr>
              <w:t>服务</w:t>
            </w:r>
            <w:r>
              <w:rPr>
                <w:rFonts w:hint="eastAsia" w:ascii="宋体" w:hAnsi="宋体" w:eastAsia="宋体" w:cs="宋体"/>
                <w:kern w:val="2"/>
                <w:sz w:val="24"/>
                <w:szCs w:val="24"/>
                <w:highlight w:val="none"/>
              </w:rPr>
              <w:t>管理，能够根据体检日期、体检类型、团体名称等条件对体检客户进行筛选并分配给相应的健康管理师进行回访，回访过程可记录回访的日期、回访事项、回访满意度。</w:t>
            </w:r>
          </w:p>
          <w:p w14:paraId="15FCB45A">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要求在随访过程中能够对接医院的患者 360 视图，方便医师便捷查阅体检客户在本院是否有复查痕迹;对于有二次追踪需求的体检客户可设置下一次的追踪日期并自动提醒进行下一次的回访。</w:t>
            </w:r>
          </w:p>
          <w:p w14:paraId="336BD9FF">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随访模块支持随访内容的记录和随访计划时间节点的自动提醒，支持随访内容短信通知客户的功能。</w:t>
            </w:r>
          </w:p>
        </w:tc>
        <w:tc>
          <w:tcPr>
            <w:tcW w:w="727" w:type="dxa"/>
            <w:noWrap w:val="0"/>
            <w:vAlign w:val="center"/>
          </w:tcPr>
          <w:p w14:paraId="7E145066">
            <w:pPr>
              <w:widowControl/>
              <w:jc w:val="left"/>
              <w:textAlignment w:val="center"/>
              <w:rPr>
                <w:rFonts w:hint="eastAsia" w:ascii="宋体" w:hAnsi="宋体" w:eastAsia="宋体" w:cs="宋体"/>
                <w:sz w:val="24"/>
                <w:szCs w:val="24"/>
                <w:highlight w:val="none"/>
              </w:rPr>
            </w:pPr>
          </w:p>
        </w:tc>
      </w:tr>
      <w:tr w14:paraId="038DA850">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627C02C4">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val="en-US" w:eastAsia="zh-CN"/>
              </w:rPr>
            </w:pPr>
          </w:p>
        </w:tc>
        <w:tc>
          <w:tcPr>
            <w:tcW w:w="1379" w:type="dxa"/>
            <w:noWrap w:val="0"/>
            <w:vAlign w:val="center"/>
          </w:tcPr>
          <w:p w14:paraId="3937DC24">
            <w:pPr>
              <w:widowControl/>
              <w:jc w:val="both"/>
              <w:textAlignment w:val="center"/>
              <w:rPr>
                <w:rStyle w:val="6"/>
                <w:rFonts w:hint="eastAsia" w:ascii="宋体" w:hAnsi="宋体" w:eastAsia="宋体" w:cs="宋体"/>
                <w:color w:val="auto"/>
                <w:sz w:val="24"/>
                <w:szCs w:val="24"/>
                <w:highlight w:val="none"/>
                <w:lang w:val="en-US" w:eastAsia="zh-CN"/>
              </w:rPr>
            </w:pPr>
            <w:r>
              <w:rPr>
                <w:rStyle w:val="6"/>
                <w:rFonts w:hint="eastAsia" w:ascii="宋体" w:hAnsi="宋体" w:eastAsia="宋体" w:cs="宋体"/>
                <w:color w:val="auto"/>
                <w:sz w:val="24"/>
                <w:szCs w:val="24"/>
                <w:highlight w:val="none"/>
                <w:lang w:val="en-US" w:eastAsia="zh-CN"/>
              </w:rPr>
              <w:t>统计功能-业务报表</w:t>
            </w:r>
          </w:p>
        </w:tc>
        <w:tc>
          <w:tcPr>
            <w:tcW w:w="5561" w:type="dxa"/>
            <w:noWrap w:val="0"/>
            <w:vAlign w:val="top"/>
          </w:tcPr>
          <w:p w14:paraId="6548911F">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提供数据驾驶舱，供主任查看当日的整体业务情况，进行经营数据分析，包括团检和个检实际到检人数、已检人数、</w:t>
            </w:r>
            <w:r>
              <w:rPr>
                <w:rFonts w:hint="eastAsia" w:ascii="宋体" w:hAnsi="宋体" w:eastAsia="宋体" w:cs="宋体"/>
                <w:kern w:val="2"/>
                <w:sz w:val="24"/>
                <w:szCs w:val="24"/>
                <w:highlight w:val="none"/>
                <w:lang w:val="en-US" w:eastAsia="zh-CN"/>
              </w:rPr>
              <w:t>团体和个体</w:t>
            </w:r>
            <w:r>
              <w:rPr>
                <w:rFonts w:hint="eastAsia" w:ascii="宋体" w:hAnsi="宋体" w:eastAsia="宋体" w:cs="宋体"/>
                <w:kern w:val="2"/>
                <w:sz w:val="24"/>
                <w:szCs w:val="24"/>
                <w:highlight w:val="none"/>
              </w:rPr>
              <w:t>收入、</w:t>
            </w:r>
            <w:r>
              <w:rPr>
                <w:rFonts w:hint="eastAsia" w:ascii="宋体" w:hAnsi="宋体" w:eastAsia="宋体" w:cs="宋体"/>
                <w:kern w:val="2"/>
                <w:sz w:val="24"/>
                <w:szCs w:val="24"/>
                <w:highlight w:val="none"/>
                <w:lang w:val="en-US" w:eastAsia="zh-CN"/>
              </w:rPr>
              <w:t>到检人流量趋势图。</w:t>
            </w:r>
          </w:p>
          <w:p w14:paraId="2B0B0D2C">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提供</w:t>
            </w:r>
            <w:r>
              <w:rPr>
                <w:rFonts w:hint="eastAsia" w:ascii="宋体" w:hAnsi="宋体" w:eastAsia="宋体" w:cs="宋体"/>
                <w:kern w:val="2"/>
                <w:sz w:val="24"/>
                <w:szCs w:val="24"/>
                <w:highlight w:val="none"/>
              </w:rPr>
              <w:t>中心所需的各类业务统计报表</w:t>
            </w:r>
            <w:r>
              <w:rPr>
                <w:rFonts w:hint="eastAsia" w:ascii="宋体" w:hAnsi="宋体" w:eastAsia="宋体" w:cs="宋体"/>
                <w:kern w:val="2"/>
                <w:sz w:val="24"/>
                <w:szCs w:val="24"/>
                <w:highlight w:val="none"/>
                <w:lang w:eastAsia="zh-CN"/>
              </w:rPr>
              <w:t>，</w:t>
            </w:r>
            <w:r>
              <w:rPr>
                <w:rFonts w:hint="eastAsia" w:ascii="宋体" w:hAnsi="宋体" w:eastAsia="宋体" w:cs="宋体"/>
                <w:kern w:val="2"/>
                <w:sz w:val="24"/>
                <w:szCs w:val="24"/>
                <w:highlight w:val="none"/>
              </w:rPr>
              <w:t>包括科室工作量统计、医生工作量统计、登记工作量统计、收入统计等。</w:t>
            </w:r>
          </w:p>
          <w:p w14:paraId="46CF2C9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支持按单位维度，进行各类报表的统计，包括：单位体检统计、单位项目统计等。支持按项目维度，进行各类报表的统计并支持导出。</w:t>
            </w:r>
          </w:p>
          <w:p w14:paraId="6E134A53">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支持按疾病维度，对各类疾病进行统计与分析并支持导出。</w:t>
            </w:r>
          </w:p>
          <w:p w14:paraId="72B31C5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支持按课题研究，进行数据的抽取与统计，用于案例分析。</w:t>
            </w:r>
          </w:p>
          <w:p w14:paraId="57F94566">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可新增自定义报表页；编辑内容包括数据列、筛选条件、关联菜单等，编辑过程中可随时预览；支持导出相同内容格式的Excel文件。</w:t>
            </w:r>
          </w:p>
        </w:tc>
        <w:tc>
          <w:tcPr>
            <w:tcW w:w="727" w:type="dxa"/>
            <w:noWrap w:val="0"/>
            <w:vAlign w:val="center"/>
          </w:tcPr>
          <w:p w14:paraId="483C9067">
            <w:pPr>
              <w:widowControl/>
              <w:jc w:val="left"/>
              <w:textAlignment w:val="center"/>
              <w:rPr>
                <w:rFonts w:hint="eastAsia" w:ascii="宋体" w:hAnsi="宋体" w:eastAsia="宋体" w:cs="宋体"/>
                <w:sz w:val="24"/>
                <w:szCs w:val="24"/>
                <w:highlight w:val="none"/>
              </w:rPr>
            </w:pPr>
          </w:p>
        </w:tc>
      </w:tr>
      <w:tr w14:paraId="227F3AC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11B93B00">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eastAsia="zh-CN"/>
              </w:rPr>
            </w:pPr>
          </w:p>
        </w:tc>
        <w:tc>
          <w:tcPr>
            <w:tcW w:w="1379" w:type="dxa"/>
            <w:noWrap w:val="0"/>
            <w:vAlign w:val="center"/>
          </w:tcPr>
          <w:p w14:paraId="54545743">
            <w:pPr>
              <w:widowControl/>
              <w:jc w:val="both"/>
              <w:textAlignment w:val="center"/>
              <w:rPr>
                <w:rFonts w:hint="eastAsia" w:ascii="宋体" w:hAnsi="宋体" w:eastAsia="宋体" w:cs="宋体"/>
                <w:sz w:val="24"/>
                <w:szCs w:val="24"/>
                <w:highlight w:val="none"/>
              </w:rPr>
            </w:pPr>
            <w:r>
              <w:rPr>
                <w:rFonts w:hint="eastAsia" w:ascii="宋体" w:hAnsi="宋体" w:eastAsia="宋体" w:cs="宋体"/>
                <w:sz w:val="24"/>
                <w:szCs w:val="24"/>
                <w:highlight w:val="none"/>
              </w:rPr>
              <w:t>系统</w:t>
            </w:r>
            <w:r>
              <w:rPr>
                <w:rFonts w:hint="eastAsia" w:ascii="宋体" w:hAnsi="宋体" w:eastAsia="宋体" w:cs="宋体"/>
                <w:sz w:val="24"/>
                <w:szCs w:val="24"/>
                <w:highlight w:val="none"/>
                <w:lang w:val="en-US" w:eastAsia="zh-CN"/>
              </w:rPr>
              <w:t>对接</w:t>
            </w:r>
            <w:r>
              <w:rPr>
                <w:rFonts w:hint="eastAsia" w:ascii="宋体" w:hAnsi="宋体" w:eastAsia="宋体" w:cs="宋体"/>
                <w:sz w:val="24"/>
                <w:szCs w:val="24"/>
                <w:highlight w:val="none"/>
              </w:rPr>
              <w:t>-接口需求</w:t>
            </w:r>
          </w:p>
        </w:tc>
        <w:tc>
          <w:tcPr>
            <w:tcW w:w="5561" w:type="dxa"/>
            <w:noWrap w:val="0"/>
            <w:vAlign w:val="top"/>
          </w:tcPr>
          <w:p w14:paraId="691D70E1">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要求</w:t>
            </w:r>
            <w:r>
              <w:rPr>
                <w:rFonts w:hint="eastAsia" w:ascii="宋体" w:hAnsi="宋体" w:eastAsia="宋体" w:cs="宋体"/>
                <w:kern w:val="2"/>
                <w:sz w:val="24"/>
                <w:szCs w:val="24"/>
                <w:highlight w:val="none"/>
              </w:rPr>
              <w:t>通过标准化接口实现患者基本信息、挂号信息、缴费信息的共享。</w:t>
            </w:r>
            <w:r>
              <w:rPr>
                <w:rFonts w:hint="eastAsia" w:ascii="宋体" w:hAnsi="宋体" w:cs="宋体"/>
                <w:kern w:val="2"/>
                <w:sz w:val="24"/>
                <w:szCs w:val="24"/>
                <w:highlight w:val="none"/>
                <w:lang w:val="en-US" w:eastAsia="zh-CN"/>
              </w:rPr>
              <w:t>可实现</w:t>
            </w:r>
            <w:r>
              <w:rPr>
                <w:rFonts w:hint="eastAsia" w:ascii="宋体" w:hAnsi="宋体" w:eastAsia="宋体" w:cs="宋体"/>
                <w:kern w:val="2"/>
                <w:sz w:val="24"/>
                <w:szCs w:val="24"/>
                <w:highlight w:val="none"/>
              </w:rPr>
              <w:t>患者在体检系统完成开单后，相关信息自动同步到 HIS 系统完成挂号缴费后，相关收费信息自动同步至体检信息化系统，无需患者重复登记缴费</w:t>
            </w:r>
            <w:r>
              <w:rPr>
                <w:rFonts w:hint="eastAsia" w:ascii="宋体" w:hAnsi="宋体" w:cs="宋体"/>
                <w:kern w:val="2"/>
                <w:sz w:val="24"/>
                <w:szCs w:val="24"/>
                <w:highlight w:val="none"/>
                <w:lang w:val="en-US" w:eastAsia="zh-CN"/>
              </w:rPr>
              <w:t>；可实现支持体检系统单独收费，信息回传至HIS</w:t>
            </w:r>
            <w:r>
              <w:rPr>
                <w:rFonts w:hint="eastAsia" w:ascii="宋体" w:hAnsi="宋体" w:eastAsia="宋体" w:cs="宋体"/>
                <w:kern w:val="2"/>
                <w:sz w:val="24"/>
                <w:szCs w:val="24"/>
                <w:highlight w:val="none"/>
              </w:rPr>
              <w:t>；实现费用统一管理。</w:t>
            </w:r>
          </w:p>
          <w:p w14:paraId="3D6E1770">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采用标准化接口，将体检信息系统中的检验申请信息发送至 LIS 系统，LIS 系统完成检验后，将检验结果自动回传至体检信息系统，实现检验数据的自动采集，避免人工录入误差，提高检验结果获取效率。</w:t>
            </w:r>
          </w:p>
          <w:p w14:paraId="4218C074">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体检系统将已完成收费的心电医嘱推送至心电系统，触发检查流程。待检查完成后，心电系统自动将检查结果回传至体检系统，并支持同步传输心电图文报告，助力医生快速、全面地完成总检诊断工作。</w:t>
            </w:r>
          </w:p>
          <w:p w14:paraId="121F59B3">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通过与PACS系统无缝连接，体检者可直接凭指引单进行放射、超声、病理、内镜等影像科室的检查，无需再持各类申请单及收费单，同时医生只需要在影像系统录入体检报告（包括图文报告），审核完成后检查结果直接传到健康体检信息系统。</w:t>
            </w:r>
          </w:p>
          <w:p w14:paraId="25109D7D">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rPr>
              <w:t>实现</w:t>
            </w:r>
            <w:r>
              <w:rPr>
                <w:rFonts w:hint="eastAsia" w:ascii="宋体" w:hAnsi="宋体" w:eastAsia="宋体" w:cs="宋体"/>
                <w:kern w:val="2"/>
                <w:sz w:val="24"/>
                <w:szCs w:val="24"/>
                <w:highlight w:val="none"/>
                <w:lang w:val="en-US" w:eastAsia="zh-CN"/>
              </w:rPr>
              <w:t>功能检查设备的对接，做到文字结果和</w:t>
            </w:r>
            <w:r>
              <w:rPr>
                <w:rFonts w:hint="eastAsia" w:ascii="宋体" w:hAnsi="宋体" w:eastAsia="宋体" w:cs="宋体"/>
                <w:kern w:val="2"/>
                <w:sz w:val="24"/>
                <w:szCs w:val="24"/>
                <w:highlight w:val="none"/>
              </w:rPr>
              <w:t>图片报告</w:t>
            </w:r>
            <w:r>
              <w:rPr>
                <w:rFonts w:hint="eastAsia" w:ascii="宋体" w:hAnsi="宋体" w:eastAsia="宋体" w:cs="宋体"/>
                <w:kern w:val="2"/>
                <w:sz w:val="24"/>
                <w:szCs w:val="24"/>
                <w:highlight w:val="none"/>
                <w:lang w:val="en-US" w:eastAsia="zh-CN"/>
              </w:rPr>
              <w:t>都</w:t>
            </w:r>
            <w:r>
              <w:rPr>
                <w:rFonts w:hint="eastAsia" w:ascii="宋体" w:hAnsi="宋体" w:eastAsia="宋体" w:cs="宋体"/>
                <w:kern w:val="2"/>
                <w:sz w:val="24"/>
                <w:szCs w:val="24"/>
                <w:highlight w:val="none"/>
              </w:rPr>
              <w:t>传输到健康体检系统；</w:t>
            </w:r>
          </w:p>
          <w:p w14:paraId="526F04E7">
            <w:pPr>
              <w:pStyle w:val="5"/>
              <w:numPr>
                <w:ilvl w:val="0"/>
                <w:numId w:val="2"/>
              </w:numPr>
              <w:ind w:left="0" w:leftChars="0" w:firstLine="0" w:firstLineChars="0"/>
              <w:rPr>
                <w:rFonts w:hint="eastAsia" w:ascii="宋体" w:hAnsi="宋体" w:eastAsia="宋体" w:cs="宋体"/>
                <w:kern w:val="2"/>
                <w:sz w:val="24"/>
                <w:szCs w:val="24"/>
                <w:highlight w:val="none"/>
              </w:rPr>
            </w:pPr>
            <w:r>
              <w:rPr>
                <w:rFonts w:hint="eastAsia" w:ascii="宋体" w:hAnsi="宋体" w:eastAsia="宋体" w:cs="宋体"/>
                <w:kern w:val="2"/>
                <w:sz w:val="24"/>
                <w:szCs w:val="24"/>
                <w:highlight w:val="none"/>
                <w:lang w:val="en-US" w:eastAsia="zh-CN"/>
              </w:rPr>
              <w:t>要求</w:t>
            </w:r>
            <w:r>
              <w:rPr>
                <w:rFonts w:hint="eastAsia" w:ascii="宋体" w:hAnsi="宋体" w:eastAsia="宋体" w:cs="宋体"/>
                <w:kern w:val="2"/>
                <w:sz w:val="24"/>
                <w:szCs w:val="24"/>
                <w:highlight w:val="none"/>
              </w:rPr>
              <w:t>科室内现有接入内网</w:t>
            </w:r>
            <w:r>
              <w:rPr>
                <w:rFonts w:hint="eastAsia" w:ascii="宋体" w:hAnsi="宋体" w:eastAsia="宋体" w:cs="宋体"/>
                <w:kern w:val="2"/>
                <w:sz w:val="24"/>
                <w:szCs w:val="24"/>
                <w:highlight w:val="none"/>
                <w:lang w:val="en-US" w:eastAsia="zh-CN"/>
              </w:rPr>
              <w:t>的</w:t>
            </w:r>
            <w:r>
              <w:rPr>
                <w:rFonts w:hint="eastAsia" w:ascii="宋体" w:hAnsi="宋体" w:eastAsia="宋体" w:cs="宋体"/>
                <w:kern w:val="2"/>
                <w:sz w:val="24"/>
                <w:szCs w:val="24"/>
                <w:highlight w:val="none"/>
              </w:rPr>
              <w:t>设备</w:t>
            </w:r>
            <w:r>
              <w:rPr>
                <w:rFonts w:hint="eastAsia" w:ascii="宋体" w:hAnsi="宋体" w:eastAsia="宋体" w:cs="宋体"/>
                <w:kern w:val="2"/>
                <w:sz w:val="24"/>
                <w:szCs w:val="24"/>
                <w:highlight w:val="none"/>
                <w:lang w:val="en-US" w:eastAsia="zh-CN"/>
              </w:rPr>
              <w:t>的</w:t>
            </w:r>
            <w:r>
              <w:rPr>
                <w:rFonts w:hint="eastAsia" w:ascii="宋体" w:hAnsi="宋体" w:eastAsia="宋体" w:cs="宋体"/>
                <w:kern w:val="2"/>
                <w:sz w:val="24"/>
                <w:szCs w:val="24"/>
                <w:highlight w:val="none"/>
              </w:rPr>
              <w:t>数据</w:t>
            </w:r>
            <w:r>
              <w:rPr>
                <w:rFonts w:hint="eastAsia" w:ascii="宋体" w:hAnsi="宋体" w:eastAsia="宋体" w:cs="宋体"/>
                <w:kern w:val="2"/>
                <w:sz w:val="24"/>
                <w:szCs w:val="24"/>
                <w:highlight w:val="none"/>
                <w:lang w:val="en-US" w:eastAsia="zh-CN"/>
              </w:rPr>
              <w:t>全部能够通过接口进行</w:t>
            </w:r>
            <w:r>
              <w:rPr>
                <w:rFonts w:hint="eastAsia" w:ascii="宋体" w:hAnsi="宋体" w:eastAsia="宋体" w:cs="宋体"/>
                <w:kern w:val="2"/>
                <w:sz w:val="24"/>
                <w:szCs w:val="24"/>
                <w:highlight w:val="none"/>
              </w:rPr>
              <w:t>传输</w:t>
            </w:r>
            <w:r>
              <w:rPr>
                <w:rFonts w:hint="eastAsia" w:ascii="宋体" w:hAnsi="宋体" w:eastAsia="宋体" w:cs="宋体"/>
                <w:kern w:val="2"/>
                <w:sz w:val="24"/>
                <w:szCs w:val="24"/>
                <w:highlight w:val="none"/>
                <w:lang w:val="en-US" w:eastAsia="zh-CN"/>
              </w:rPr>
              <w:t>到健康体检系统</w:t>
            </w:r>
            <w:r>
              <w:rPr>
                <w:rFonts w:hint="eastAsia" w:ascii="宋体" w:hAnsi="宋体" w:eastAsia="宋体" w:cs="宋体"/>
                <w:kern w:val="2"/>
                <w:sz w:val="24"/>
                <w:szCs w:val="24"/>
                <w:highlight w:val="none"/>
              </w:rPr>
              <w:t>。</w:t>
            </w:r>
          </w:p>
        </w:tc>
        <w:tc>
          <w:tcPr>
            <w:tcW w:w="727" w:type="dxa"/>
            <w:noWrap w:val="0"/>
            <w:vAlign w:val="center"/>
          </w:tcPr>
          <w:p w14:paraId="7FFE79DD">
            <w:pPr>
              <w:widowControl/>
              <w:jc w:val="center"/>
              <w:textAlignment w:val="center"/>
              <w:rPr>
                <w:rFonts w:hint="eastAsia" w:ascii="宋体" w:hAnsi="宋体" w:eastAsia="宋体" w:cs="宋体"/>
                <w:sz w:val="24"/>
                <w:szCs w:val="24"/>
                <w:highlight w:val="none"/>
              </w:rPr>
            </w:pPr>
          </w:p>
        </w:tc>
      </w:tr>
      <w:tr w14:paraId="00EAAD7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852" w:type="dxa"/>
            <w:noWrap w:val="0"/>
            <w:vAlign w:val="center"/>
          </w:tcPr>
          <w:p w14:paraId="7B79A7F6">
            <w:pPr>
              <w:widowControl/>
              <w:numPr>
                <w:ilvl w:val="0"/>
                <w:numId w:val="1"/>
              </w:numPr>
              <w:ind w:left="425" w:leftChars="0" w:hanging="425" w:firstLineChars="0"/>
              <w:jc w:val="center"/>
              <w:textAlignment w:val="center"/>
              <w:rPr>
                <w:rFonts w:hint="eastAsia" w:ascii="宋体" w:hAnsi="宋体" w:eastAsia="宋体" w:cs="宋体"/>
                <w:sz w:val="24"/>
                <w:szCs w:val="24"/>
                <w:highlight w:val="none"/>
                <w:lang w:eastAsia="zh-CN"/>
              </w:rPr>
            </w:pPr>
          </w:p>
        </w:tc>
        <w:tc>
          <w:tcPr>
            <w:tcW w:w="1379" w:type="dxa"/>
            <w:noWrap w:val="0"/>
            <w:vAlign w:val="center"/>
          </w:tcPr>
          <w:p w14:paraId="46F7385E">
            <w:pPr>
              <w:widowControl/>
              <w:jc w:val="both"/>
              <w:textAlignment w:val="center"/>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分院管理-</w:t>
            </w:r>
            <w:r>
              <w:rPr>
                <w:rFonts w:hint="eastAsia" w:ascii="宋体" w:hAnsi="宋体" w:eastAsia="宋体" w:cs="宋体"/>
                <w:sz w:val="24"/>
                <w:szCs w:val="24"/>
                <w:lang w:val="en-US" w:eastAsia="zh-CN"/>
              </w:rPr>
              <w:t>集团化管理</w:t>
            </w:r>
          </w:p>
        </w:tc>
        <w:tc>
          <w:tcPr>
            <w:tcW w:w="5561" w:type="dxa"/>
            <w:noWrap w:val="0"/>
            <w:vAlign w:val="top"/>
          </w:tcPr>
          <w:p w14:paraId="306813EC">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sz w:val="24"/>
                <w:szCs w:val="24"/>
                <w:lang w:bidi="ar"/>
              </w:rPr>
              <w:t>实现跨院区数据共享</w:t>
            </w:r>
            <w:r>
              <w:rPr>
                <w:rFonts w:hint="eastAsia" w:ascii="宋体" w:hAnsi="宋体" w:eastAsia="宋体" w:cs="宋体"/>
                <w:sz w:val="24"/>
                <w:szCs w:val="24"/>
                <w:lang w:eastAsia="zh-CN" w:bidi="ar"/>
              </w:rPr>
              <w:t>，</w:t>
            </w:r>
            <w:r>
              <w:rPr>
                <w:rFonts w:hint="eastAsia" w:ascii="宋体" w:hAnsi="宋体" w:eastAsia="宋体" w:cs="宋体"/>
                <w:sz w:val="24"/>
                <w:szCs w:val="24"/>
                <w:lang w:val="en-US" w:eastAsia="zh-CN" w:bidi="ar"/>
              </w:rPr>
              <w:t>多分院</w:t>
            </w:r>
            <w:r>
              <w:rPr>
                <w:rFonts w:hint="eastAsia" w:ascii="宋体" w:hAnsi="宋体" w:eastAsia="宋体" w:cs="宋体"/>
                <w:sz w:val="24"/>
                <w:szCs w:val="24"/>
                <w:lang w:bidi="ar"/>
              </w:rPr>
              <w:t>系统</w:t>
            </w:r>
            <w:r>
              <w:rPr>
                <w:rFonts w:hint="eastAsia" w:ascii="宋体" w:hAnsi="宋体" w:eastAsia="宋体" w:cs="宋体"/>
                <w:sz w:val="24"/>
                <w:szCs w:val="24"/>
                <w:lang w:val="en-US" w:eastAsia="zh-CN" w:bidi="ar"/>
              </w:rPr>
              <w:t>数据</w:t>
            </w:r>
            <w:r>
              <w:rPr>
                <w:rFonts w:hint="eastAsia" w:ascii="宋体" w:hAnsi="宋体" w:eastAsia="宋体" w:cs="宋体"/>
                <w:sz w:val="24"/>
                <w:szCs w:val="24"/>
                <w:lang w:bidi="ar"/>
              </w:rPr>
              <w:t>互联互通问题。</w:t>
            </w:r>
          </w:p>
          <w:p w14:paraId="4EC3EC9A">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实现数据统计的合并与部分独立，实现系统独立操作与数据存储；可以按照需要实时查看统计体检情况和数据汇总。</w:t>
            </w:r>
          </w:p>
          <w:p w14:paraId="26C81293">
            <w:pPr>
              <w:pStyle w:val="5"/>
              <w:numPr>
                <w:ilvl w:val="0"/>
                <w:numId w:val="2"/>
              </w:numPr>
              <w:ind w:left="0" w:leftChars="0" w:firstLine="0" w:firstLineChars="0"/>
              <w:rPr>
                <w:rFonts w:hint="eastAsia" w:ascii="宋体" w:hAnsi="宋体" w:eastAsia="宋体" w:cs="宋体"/>
                <w:kern w:val="2"/>
                <w:sz w:val="24"/>
                <w:szCs w:val="24"/>
                <w:highlight w:val="none"/>
                <w:lang w:val="en-US" w:eastAsia="zh-CN"/>
              </w:rPr>
            </w:pPr>
            <w:r>
              <w:rPr>
                <w:rFonts w:hint="eastAsia" w:ascii="宋体" w:hAnsi="宋体" w:eastAsia="宋体" w:cs="宋体"/>
                <w:kern w:val="2"/>
                <w:sz w:val="24"/>
                <w:szCs w:val="24"/>
                <w:highlight w:val="none"/>
                <w:lang w:val="en-US" w:eastAsia="zh-CN"/>
              </w:rPr>
              <w:t>实现本部可访问分院的数据进行质量控制管理。</w:t>
            </w:r>
          </w:p>
        </w:tc>
        <w:tc>
          <w:tcPr>
            <w:tcW w:w="727" w:type="dxa"/>
            <w:noWrap w:val="0"/>
            <w:vAlign w:val="center"/>
          </w:tcPr>
          <w:p w14:paraId="3860D39B">
            <w:pPr>
              <w:widowControl/>
              <w:jc w:val="center"/>
              <w:textAlignment w:val="center"/>
              <w:rPr>
                <w:rFonts w:hint="eastAsia" w:ascii="宋体" w:hAnsi="宋体" w:eastAsia="宋体" w:cs="宋体"/>
                <w:sz w:val="24"/>
                <w:szCs w:val="24"/>
                <w:highlight w:val="none"/>
              </w:rPr>
            </w:pPr>
          </w:p>
        </w:tc>
      </w:tr>
    </w:tbl>
    <w:p w14:paraId="59E135C4">
      <w:pPr>
        <w:pStyle w:val="2"/>
        <w:rPr>
          <w:rFonts w:hint="eastAsia"/>
          <w:lang w:val="en-US" w:eastAsia="zh-CN"/>
        </w:rPr>
      </w:pPr>
    </w:p>
    <w:p w14:paraId="45E38362">
      <w:pPr>
        <w:pStyle w:val="2"/>
        <w:rPr>
          <w:rFonts w:hint="eastAsia" w:ascii="方正仿宋简体" w:hAnsi="方正仿宋简体" w:eastAsia="方正仿宋简体" w:cs="方正仿宋简体"/>
          <w:sz w:val="32"/>
          <w:szCs w:val="32"/>
        </w:rPr>
      </w:pPr>
    </w:p>
    <w:p w14:paraId="6CDE8DD1">
      <w:pPr>
        <w:rPr>
          <w:rFonts w:hint="eastAsia"/>
        </w:rPr>
      </w:pPr>
    </w:p>
    <w:p w14:paraId="062C51B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636DF35"/>
    <w:multiLevelType w:val="singleLevel"/>
    <w:tmpl w:val="F636DF35"/>
    <w:lvl w:ilvl="0" w:tentative="0">
      <w:start w:val="1"/>
      <w:numFmt w:val="decimal"/>
      <w:lvlText w:val="%1."/>
      <w:lvlJc w:val="left"/>
      <w:pPr>
        <w:ind w:left="425" w:hanging="425"/>
      </w:pPr>
      <w:rPr>
        <w:rFonts w:hint="default"/>
      </w:rPr>
    </w:lvl>
  </w:abstractNum>
  <w:abstractNum w:abstractNumId="1">
    <w:nsid w:val="3A8D705B"/>
    <w:multiLevelType w:val="singleLevel"/>
    <w:tmpl w:val="3A8D705B"/>
    <w:lvl w:ilvl="0" w:tentative="0">
      <w:start w:val="1"/>
      <w:numFmt w:val="decimal"/>
      <w:suff w:val="nothing"/>
      <w:lvlText w:val="%1．"/>
      <w:lvlJc w:val="left"/>
      <w:pPr>
        <w:ind w:left="0" w:firstLine="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167D27"/>
    <w:rsid w:val="30167D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sz w:val="28"/>
      <w:szCs w:val="28"/>
    </w:rPr>
  </w:style>
  <w:style w:type="paragraph" w:customStyle="1" w:styleId="5">
    <w:name w:val="null3"/>
    <w:qFormat/>
    <w:uiPriority w:val="0"/>
    <w:rPr>
      <w:rFonts w:ascii="Calibri" w:hAnsi="Calibri" w:eastAsia="宋体" w:cs="Times New Roman"/>
      <w:lang w:val="en-US" w:eastAsia="zh-CN" w:bidi="ar-SA"/>
    </w:rPr>
  </w:style>
  <w:style w:type="character" w:customStyle="1" w:styleId="6">
    <w:name w:val="font51"/>
    <w:basedOn w:val="4"/>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2026-04-24T01:21:00Z</dcterms:created>
  <dc:creator>admin</dc:creator>
  <cp:lastModifiedBy>admin</cp:lastModifiedBy>
  <dcterms:modified xsi:type="dcterms:W3CDTF">2026-04-24T01:22:00Z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F5A22A207CB54DAA816303C39637B035_11</vt:lpwstr>
  </property>
  <property fmtid="{D5CDD505-2E9C-101B-9397-08002B2CF9AE}" pid="4" name="KSOTemplateDocerSaveRecord">
    <vt:lpwstr>eyJoZGlkIjoiOTU5NmE1ZjM2ZDMxNzZjOWUwYzNjMGMzMTY5ZmE4MmIifQ==</vt:lpwstr>
  </property>
</Properties>
</file>