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EB1B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 w14:paraId="74B11F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成都市青白江区中医医院集团报价表</w:t>
      </w:r>
    </w:p>
    <w:p w14:paraId="355639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80"/>
        <w:gridCol w:w="3218"/>
      </w:tblGrid>
      <w:tr w14:paraId="59D9E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 w14:paraId="40CC80E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380" w:type="dxa"/>
          </w:tcPr>
          <w:p w14:paraId="219A06A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218" w:type="dxa"/>
          </w:tcPr>
          <w:p w14:paraId="13AFD21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8"/>
                <w:szCs w:val="28"/>
                <w:vertAlign w:val="baseline"/>
                <w:lang w:val="en-US" w:eastAsia="zh-CN"/>
              </w:rPr>
              <w:t>服务报价（万元）</w:t>
            </w:r>
          </w:p>
        </w:tc>
      </w:tr>
      <w:tr w14:paraId="1A427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</w:tcPr>
          <w:p w14:paraId="3AA2138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380" w:type="dxa"/>
          </w:tcPr>
          <w:p w14:paraId="603357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医保相关大数据分析第三方服务</w:t>
            </w:r>
          </w:p>
        </w:tc>
        <w:tc>
          <w:tcPr>
            <w:tcW w:w="3218" w:type="dxa"/>
          </w:tcPr>
          <w:p w14:paraId="03DEF6E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E2B70A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both"/>
        <w:textAlignment w:val="auto"/>
        <w:rPr>
          <w:rFonts w:hint="default" w:ascii="方正仿宋简体" w:hAnsi="方正仿宋简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注：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  <w:t>此报价为包干价。</w:t>
      </w:r>
    </w:p>
    <w:p w14:paraId="7C275E5D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13D0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F4627E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F4627E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50A2B"/>
    <w:rsid w:val="3B05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widowControl/>
      <w:adjustRightInd/>
      <w:spacing w:after="120" w:line="240" w:lineRule="auto"/>
    </w:pPr>
    <w:rPr>
      <w:rFonts w:hint="default" w:ascii="Wingdings" w:hAnsi="Wingdings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2026-04-27T00:39:00Z</dcterms:created>
  <dc:creator>admin</dc:creator>
  <cp:lastModifiedBy>admin</cp:lastModifiedBy>
  <dcterms:modified xsi:type="dcterms:W3CDTF">2026-04-27T00:39:19Z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B339C3B7AD194BA3B0DA5919DC6AE526_11</vt:lpwstr>
  </property>
  <property fmtid="{D5CDD505-2E9C-101B-9397-08002B2CF9AE}" pid="4" name="KSOTemplateDocerSaveRecord">
    <vt:lpwstr>eyJoZGlkIjoiOTU5NmE1ZjM2ZDMxNzZjOWUwYzNjMGMzMTY5ZmE4MmIifQ==</vt:lpwstr>
  </property>
</Properties>
</file>