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F624CC">
      <w:pPr>
        <w:pStyle w:val="4"/>
        <w:bidi w:val="0"/>
        <w:ind w:left="0" w:leftChars="0" w:firstLine="0" w:firstLineChars="0"/>
        <w:jc w:val="both"/>
        <w:rPr>
          <w:rFonts w:hint="eastAsia" w:ascii="方正黑体简体" w:hAnsi="方正黑体简体" w:eastAsia="方正黑体简体" w:cs="方正黑体简体"/>
          <w:color w:val="000000"/>
          <w:sz w:val="36"/>
          <w:szCs w:val="36"/>
          <w:lang w:val="en-US" w:eastAsia="zh-CN"/>
        </w:rPr>
      </w:pPr>
      <w:r>
        <w:rPr>
          <w:rFonts w:hint="eastAsia" w:ascii="方正黑体简体" w:hAnsi="方正黑体简体" w:eastAsia="方正黑体简体" w:cs="方正黑体简体"/>
          <w:color w:val="000000"/>
          <w:sz w:val="30"/>
          <w:szCs w:val="30"/>
          <w:lang w:val="en-US" w:eastAsia="zh-CN"/>
        </w:rPr>
        <w:t>附件1</w:t>
      </w:r>
    </w:p>
    <w:p w14:paraId="39AAD29B">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黑体简体" w:hAnsi="方正黑体简体" w:eastAsia="方正黑体简体" w:cs="方正黑体简体"/>
          <w:b w:val="0"/>
          <w:bCs w:val="0"/>
          <w:color w:val="000000"/>
          <w:sz w:val="36"/>
          <w:szCs w:val="36"/>
          <w:lang w:val="en-US" w:eastAsia="zh-CN"/>
        </w:rPr>
      </w:pPr>
      <w:r>
        <w:rPr>
          <w:rFonts w:hint="eastAsia" w:ascii="方正黑体简体" w:hAnsi="方正黑体简体" w:eastAsia="方正黑体简体" w:cs="方正黑体简体"/>
          <w:b w:val="0"/>
          <w:bCs w:val="0"/>
          <w:color w:val="000000"/>
          <w:sz w:val="36"/>
          <w:szCs w:val="36"/>
          <w:lang w:val="en-US" w:eastAsia="zh-CN"/>
        </w:rPr>
        <w:t>成都市青白江区中医医院</w:t>
      </w:r>
    </w:p>
    <w:p w14:paraId="148705E7">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黑体简体" w:hAnsi="方正黑体简体" w:eastAsia="方正黑体简体" w:cs="方正黑体简体"/>
          <w:b w:val="0"/>
          <w:bCs w:val="0"/>
          <w:color w:val="000000"/>
          <w:sz w:val="36"/>
          <w:szCs w:val="36"/>
          <w:lang w:val="en-US" w:eastAsia="zh-CN"/>
        </w:rPr>
      </w:pPr>
      <w:r>
        <w:rPr>
          <w:rFonts w:hint="eastAsia" w:ascii="方正黑体简体" w:hAnsi="方正黑体简体" w:eastAsia="方正黑体简体" w:cs="方正黑体简体"/>
          <w:b w:val="0"/>
          <w:bCs w:val="0"/>
          <w:color w:val="000000"/>
          <w:sz w:val="36"/>
          <w:szCs w:val="36"/>
          <w:lang w:val="en-US" w:eastAsia="zh-CN"/>
        </w:rPr>
        <w:t>医疗责任保险服务采购项目前期市场调研基本情况</w:t>
      </w:r>
    </w:p>
    <w:p w14:paraId="7A2A3808">
      <w:pPr>
        <w:pStyle w:val="4"/>
        <w:numPr>
          <w:ilvl w:val="0"/>
          <w:numId w:val="0"/>
        </w:numPr>
        <w:spacing w:line="240" w:lineRule="auto"/>
        <w:rPr>
          <w:rFonts w:hint="eastAsia" w:ascii="宋体" w:hAnsi="宋体" w:eastAsia="宋体" w:cs="宋体"/>
          <w:color w:val="000000"/>
          <w:sz w:val="30"/>
          <w:szCs w:val="30"/>
          <w:lang w:val="en-US" w:eastAsia="zh-CN"/>
        </w:rPr>
      </w:pPr>
    </w:p>
    <w:p w14:paraId="73E36961">
      <w:pPr>
        <w:pStyle w:val="4"/>
        <w:keepNext w:val="0"/>
        <w:keepLines w:val="0"/>
        <w:pageBreakBefore w:val="0"/>
        <w:numPr>
          <w:ilvl w:val="0"/>
          <w:numId w:val="0"/>
        </w:numPr>
        <w:kinsoku/>
        <w:wordWrap/>
        <w:overflowPunct/>
        <w:topLinePunct w:val="0"/>
        <w:bidi w:val="0"/>
        <w:snapToGrid/>
        <w:spacing w:line="580" w:lineRule="exact"/>
        <w:ind w:firstLine="640" w:firstLineChars="200"/>
        <w:jc w:val="left"/>
        <w:textAlignment w:val="auto"/>
        <w:rPr>
          <w:rFonts w:hint="eastAsia" w:ascii="方正仿宋简体" w:hAnsi="方正仿宋简体" w:eastAsia="方正仿宋简体" w:cs="方正仿宋简体"/>
          <w:color w:val="000000"/>
          <w:sz w:val="32"/>
          <w:szCs w:val="32"/>
          <w:highlight w:val="none"/>
        </w:rPr>
      </w:pPr>
      <w:r>
        <w:rPr>
          <w:rFonts w:hint="eastAsia" w:ascii="方正仿宋简体" w:hAnsi="方正仿宋简体" w:eastAsia="方正仿宋简体" w:cs="方正仿宋简体"/>
          <w:color w:val="000000"/>
          <w:sz w:val="32"/>
          <w:szCs w:val="32"/>
          <w:lang w:val="en-US" w:eastAsia="zh-CN"/>
        </w:rPr>
        <w:t>医院基本情况：成都市青白江区中医医院为三级甲等中医医院，编制床位数共计468张，现有医生/技师230人、药剂30人、护士211人，合计471人。医院20</w:t>
      </w:r>
      <w:r>
        <w:rPr>
          <w:rFonts w:hint="eastAsia" w:ascii="方正仿宋简体" w:hAnsi="方正仿宋简体" w:eastAsia="方正仿宋简体" w:cs="方正仿宋简体"/>
          <w:color w:val="auto"/>
          <w:sz w:val="32"/>
          <w:szCs w:val="32"/>
          <w:lang w:val="en-US" w:eastAsia="zh-CN"/>
        </w:rPr>
        <w:t>25年诊疗人次数如下：门急诊309230人次、</w:t>
      </w:r>
      <w:bookmarkStart w:id="0" w:name="OLE_LINK1"/>
      <w:r>
        <w:rPr>
          <w:rFonts w:hint="eastAsia" w:ascii="方正仿宋简体" w:hAnsi="方正仿宋简体" w:eastAsia="方正仿宋简体" w:cs="方正仿宋简体"/>
          <w:color w:val="auto"/>
          <w:sz w:val="32"/>
          <w:szCs w:val="32"/>
          <w:lang w:val="en-US" w:eastAsia="zh-CN"/>
        </w:rPr>
        <w:t>住院20428人次</w:t>
      </w:r>
      <w:bookmarkEnd w:id="0"/>
      <w:r>
        <w:rPr>
          <w:rFonts w:hint="eastAsia" w:ascii="方正仿宋简体" w:hAnsi="方正仿宋简体" w:eastAsia="方正仿宋简体" w:cs="方正仿宋简体"/>
          <w:color w:val="auto"/>
          <w:sz w:val="32"/>
          <w:szCs w:val="32"/>
          <w:lang w:val="en-US" w:eastAsia="zh-CN"/>
        </w:rPr>
        <w:t>、手术3906台次。</w:t>
      </w:r>
      <w:bookmarkStart w:id="1" w:name="OLE_LINK4"/>
      <w:r>
        <w:rPr>
          <w:rFonts w:hint="eastAsia" w:ascii="方正仿宋简体" w:hAnsi="方正仿宋简体" w:eastAsia="方正仿宋简体" w:cs="方正仿宋简体"/>
          <w:color w:val="auto"/>
          <w:sz w:val="32"/>
          <w:szCs w:val="32"/>
          <w:highlight w:val="none"/>
          <w:lang w:val="en-US" w:eastAsia="zh-CN"/>
        </w:rPr>
        <w:t>院区总建筑面积4.7万㎡；电动直梯17部，电动扶梯6部，电梯总共23部；停车位260个。</w:t>
      </w:r>
      <w:bookmarkEnd w:id="1"/>
    </w:p>
    <w:p w14:paraId="14D005F9">
      <w:pPr>
        <w:pStyle w:val="4"/>
        <w:keepNext w:val="0"/>
        <w:keepLines w:val="0"/>
        <w:pageBreakBefore w:val="0"/>
        <w:numPr>
          <w:ilvl w:val="0"/>
          <w:numId w:val="0"/>
        </w:numPr>
        <w:kinsoku/>
        <w:wordWrap/>
        <w:overflowPunct/>
        <w:topLinePunct w:val="0"/>
        <w:bidi w:val="0"/>
        <w:snapToGrid/>
        <w:spacing w:line="580" w:lineRule="exact"/>
        <w:ind w:firstLine="640" w:firstLineChars="200"/>
        <w:jc w:val="left"/>
        <w:textAlignment w:val="auto"/>
        <w:rPr>
          <w:rFonts w:hint="eastAsia" w:ascii="方正楷体简体" w:hAnsi="方正楷体简体" w:eastAsia="方正楷体简体" w:cs="方正楷体简体"/>
          <w:b w:val="0"/>
          <w:bCs w:val="0"/>
          <w:color w:val="000000"/>
          <w:sz w:val="32"/>
          <w:szCs w:val="32"/>
        </w:rPr>
      </w:pPr>
      <w:r>
        <w:rPr>
          <w:rFonts w:hint="eastAsia" w:ascii="方正楷体简体" w:hAnsi="方正楷体简体" w:eastAsia="方正楷体简体" w:cs="方正楷体简体"/>
          <w:b w:val="0"/>
          <w:bCs w:val="0"/>
          <w:color w:val="000000"/>
          <w:sz w:val="32"/>
          <w:szCs w:val="32"/>
          <w:lang w:val="en-US" w:eastAsia="zh-CN"/>
        </w:rPr>
        <w:t>（一）保险责任范围</w:t>
      </w:r>
    </w:p>
    <w:p w14:paraId="6C8121CC">
      <w:pPr>
        <w:pStyle w:val="4"/>
        <w:keepNext w:val="0"/>
        <w:keepLines w:val="0"/>
        <w:pageBreakBefore w:val="0"/>
        <w:numPr>
          <w:ilvl w:val="0"/>
          <w:numId w:val="0"/>
        </w:numPr>
        <w:kinsoku/>
        <w:wordWrap/>
        <w:overflowPunct/>
        <w:topLinePunct w:val="0"/>
        <w:bidi w:val="0"/>
        <w:snapToGrid/>
        <w:spacing w:line="580" w:lineRule="exact"/>
        <w:ind w:firstLine="640" w:firstLineChars="200"/>
        <w:jc w:val="left"/>
        <w:textAlignment w:val="auto"/>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医疗责任保险。在保险期间或保险合同载明的追溯期内，</w:t>
      </w:r>
      <w:r>
        <w:rPr>
          <w:rFonts w:hint="eastAsia" w:ascii="方正仿宋简体" w:hAnsi="方正仿宋简体" w:eastAsia="方正仿宋简体" w:cs="方正仿宋简体"/>
          <w:color w:val="000000"/>
          <w:sz w:val="32"/>
          <w:szCs w:val="32"/>
          <w:lang w:val="en-US" w:eastAsia="zh-CN"/>
        </w:rPr>
        <w:t>医院</w:t>
      </w:r>
      <w:r>
        <w:rPr>
          <w:rFonts w:hint="eastAsia" w:ascii="方正仿宋简体" w:hAnsi="方正仿宋简体" w:eastAsia="方正仿宋简体" w:cs="方正仿宋简体"/>
          <w:color w:val="000000"/>
          <w:sz w:val="32"/>
          <w:szCs w:val="32"/>
        </w:rPr>
        <w:t>投保医务人员在医疗机构场所内从事诊疗护理</w:t>
      </w:r>
      <w:r>
        <w:rPr>
          <w:rFonts w:hint="eastAsia" w:ascii="方正仿宋简体" w:hAnsi="方正仿宋简体" w:eastAsia="方正仿宋简体" w:cs="方正仿宋简体"/>
          <w:color w:val="000000"/>
          <w:sz w:val="32"/>
          <w:szCs w:val="32"/>
          <w:lang w:val="en-US" w:eastAsia="zh-CN"/>
        </w:rPr>
        <w:t>等医疗</w:t>
      </w:r>
      <w:r>
        <w:rPr>
          <w:rFonts w:hint="eastAsia" w:ascii="方正仿宋简体" w:hAnsi="方正仿宋简体" w:eastAsia="方正仿宋简体" w:cs="方正仿宋简体"/>
          <w:color w:val="000000"/>
          <w:sz w:val="32"/>
          <w:szCs w:val="32"/>
        </w:rPr>
        <w:t>活动时，因过失造成患者人身损害的相关费用。保险赔偿金额包括医疗费、护理费、住院伙食补助费、残疾赔偿金、死亡赔偿金、精神损害抚慰金、</w:t>
      </w:r>
      <w:r>
        <w:rPr>
          <w:rFonts w:hint="eastAsia" w:ascii="方正仿宋简体" w:hAnsi="方正仿宋简体" w:eastAsia="方正仿宋简体" w:cs="方正仿宋简体"/>
          <w:color w:val="000000"/>
          <w:sz w:val="32"/>
          <w:szCs w:val="32"/>
          <w:lang w:val="en-US" w:eastAsia="zh-CN"/>
        </w:rPr>
        <w:t>后</w:t>
      </w:r>
      <w:r>
        <w:rPr>
          <w:rFonts w:hint="eastAsia" w:ascii="方正仿宋简体" w:hAnsi="方正仿宋简体" w:eastAsia="方正仿宋简体" w:cs="方正仿宋简体"/>
          <w:color w:val="000000"/>
          <w:sz w:val="32"/>
          <w:szCs w:val="32"/>
        </w:rPr>
        <w:t>续医费、交通费及处理过程中产生的法律费用如尸体病理解剖费、鉴定费、查勘费、取证费、诉讼费、律师费等。</w:t>
      </w:r>
    </w:p>
    <w:p w14:paraId="0D5208BD">
      <w:pPr>
        <w:pStyle w:val="4"/>
        <w:keepNext w:val="0"/>
        <w:keepLines w:val="0"/>
        <w:pageBreakBefore w:val="0"/>
        <w:numPr>
          <w:ilvl w:val="0"/>
          <w:numId w:val="0"/>
        </w:numPr>
        <w:kinsoku/>
        <w:wordWrap/>
        <w:overflowPunct/>
        <w:topLinePunct w:val="0"/>
        <w:bidi w:val="0"/>
        <w:snapToGrid/>
        <w:spacing w:line="580" w:lineRule="exact"/>
        <w:ind w:firstLine="640" w:firstLineChars="200"/>
        <w:jc w:val="left"/>
        <w:textAlignment w:val="auto"/>
        <w:rPr>
          <w:rFonts w:hint="eastAsia" w:ascii="方正楷体简体" w:hAnsi="方正楷体简体" w:eastAsia="方正楷体简体" w:cs="方正楷体简体"/>
          <w:color w:val="000000"/>
          <w:kern w:val="2"/>
          <w:sz w:val="32"/>
          <w:szCs w:val="32"/>
          <w:lang w:val="en-US" w:eastAsia="zh-CN" w:bidi="ar-SA"/>
        </w:rPr>
      </w:pPr>
      <w:r>
        <w:rPr>
          <w:rFonts w:hint="eastAsia" w:ascii="方正楷体简体" w:hAnsi="方正楷体简体" w:eastAsia="方正楷体简体" w:cs="方正楷体简体"/>
          <w:color w:val="000000"/>
          <w:kern w:val="2"/>
          <w:sz w:val="32"/>
          <w:szCs w:val="32"/>
          <w:lang w:val="en-US" w:eastAsia="zh-CN" w:bidi="ar-SA"/>
        </w:rPr>
        <w:t>（二）赔偿限额、免赔及其他要求</w:t>
      </w:r>
    </w:p>
    <w:p w14:paraId="6FA714FF">
      <w:pPr>
        <w:pStyle w:val="8"/>
        <w:keepNext w:val="0"/>
        <w:keepLines w:val="0"/>
        <w:pageBreakBefore w:val="0"/>
        <w:kinsoku/>
        <w:wordWrap/>
        <w:overflowPunct/>
        <w:topLinePunct w:val="0"/>
        <w:bidi w:val="0"/>
        <w:snapToGrid/>
        <w:spacing w:line="580" w:lineRule="exact"/>
        <w:ind w:firstLine="640" w:firstLineChars="200"/>
        <w:jc w:val="left"/>
        <w:textAlignment w:val="auto"/>
        <w:rPr>
          <w:rFonts w:hint="eastAsia" w:ascii="方正仿宋简体" w:hAnsi="方正仿宋简体" w:eastAsia="方正仿宋简体" w:cs="方正仿宋简体"/>
          <w:color w:val="000000"/>
          <w:kern w:val="2"/>
          <w:sz w:val="32"/>
          <w:szCs w:val="32"/>
          <w:lang w:val="en-US" w:eastAsia="zh-CN" w:bidi="ar-SA"/>
        </w:rPr>
      </w:pPr>
      <w:r>
        <w:rPr>
          <w:rFonts w:hint="eastAsia" w:ascii="方正仿宋简体" w:hAnsi="方正仿宋简体" w:eastAsia="方正仿宋简体" w:cs="方正仿宋简体"/>
          <w:color w:val="000000"/>
          <w:kern w:val="2"/>
          <w:sz w:val="32"/>
          <w:szCs w:val="32"/>
          <w:lang w:val="en-US" w:eastAsia="zh-CN" w:bidi="ar-SA"/>
        </w:rPr>
        <w:t>1.医疗责任保险赔偿项目限额及其他要求：</w:t>
      </w:r>
    </w:p>
    <w:p w14:paraId="2627673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（1）医疗责任限额：</w:t>
      </w:r>
      <w:bookmarkStart w:id="2" w:name="OLE_LINK3"/>
      <w:r>
        <w:rPr>
          <w:rFonts w:hint="eastAsia" w:ascii="方正仿宋简体" w:hAnsi="方正仿宋简体" w:eastAsia="方正仿宋简体" w:cs="方正仿宋简体"/>
          <w:sz w:val="32"/>
          <w:szCs w:val="32"/>
          <w:lang w:val="en-US" w:eastAsia="zh-CN"/>
        </w:rPr>
        <w:t>每人每次责任限额：30万元。全年累计责任限额：100万元。</w:t>
      </w:r>
    </w:p>
    <w:bookmarkEnd w:id="2"/>
    <w:p w14:paraId="7EACC15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 xml:space="preserve">（2）每次事故免赔额（率）：2万以内无免赔额；2万元以上每次事故绝对免赔额为3000元或损失金额的10%，二者以高者为准。  </w:t>
      </w:r>
    </w:p>
    <w:p w14:paraId="0AD55BD1">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（3）精神损害每人责任限额：为医疗责任每人责任限额的10%，并不</w:t>
      </w:r>
      <w:r>
        <w:rPr>
          <w:rFonts w:hint="eastAsia" w:ascii="方正仿宋简体" w:hAnsi="方正仿宋简体" w:eastAsia="方正仿宋简体" w:cs="方正仿宋简体"/>
          <w:sz w:val="32"/>
          <w:szCs w:val="32"/>
          <w:highlight w:val="none"/>
          <w:lang w:val="en-US" w:eastAsia="zh-CN"/>
        </w:rPr>
        <w:t>包含</w:t>
      </w:r>
      <w:r>
        <w:rPr>
          <w:rFonts w:hint="eastAsia" w:ascii="方正仿宋简体" w:hAnsi="方正仿宋简体" w:eastAsia="方正仿宋简体" w:cs="方正仿宋简体"/>
          <w:sz w:val="32"/>
          <w:szCs w:val="32"/>
          <w:lang w:val="en-US" w:eastAsia="zh-CN"/>
        </w:rPr>
        <w:t xml:space="preserve">在医疗责任限额每人责任限额内。    </w:t>
      </w:r>
    </w:p>
    <w:p w14:paraId="19197A4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（4）法律费用责任限额：每次事故责任限额：1.0万元。累计责任限额：3.0万元。</w:t>
      </w:r>
    </w:p>
    <w:p w14:paraId="3784A66B">
      <w:pPr>
        <w:pStyle w:val="8"/>
        <w:keepNext w:val="0"/>
        <w:keepLines w:val="0"/>
        <w:pageBreakBefore w:val="0"/>
        <w:kinsoku/>
        <w:wordWrap/>
        <w:overflowPunct/>
        <w:topLinePunct w:val="0"/>
        <w:bidi w:val="0"/>
        <w:snapToGrid/>
        <w:spacing w:line="580" w:lineRule="exact"/>
        <w:ind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（5）鉴定费用责任限额：为医疗责任每人责任限额的10%，并不</w:t>
      </w:r>
      <w:r>
        <w:rPr>
          <w:rFonts w:hint="eastAsia" w:ascii="方正仿宋简体" w:hAnsi="方正仿宋简体" w:eastAsia="方正仿宋简体" w:cs="方正仿宋简体"/>
          <w:sz w:val="32"/>
          <w:szCs w:val="32"/>
          <w:highlight w:val="none"/>
          <w:lang w:val="en-US" w:eastAsia="zh-CN"/>
        </w:rPr>
        <w:t>包含</w:t>
      </w:r>
      <w:r>
        <w:rPr>
          <w:rFonts w:hint="eastAsia" w:ascii="方正仿宋简体" w:hAnsi="方正仿宋简体" w:eastAsia="方正仿宋简体" w:cs="方正仿宋简体"/>
          <w:sz w:val="32"/>
          <w:szCs w:val="32"/>
          <w:lang w:val="en-US" w:eastAsia="zh-CN"/>
        </w:rPr>
        <w:t>在医疗责任限额每人责任限额内。</w:t>
      </w:r>
    </w:p>
    <w:p w14:paraId="5325B05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（6）其他服务要求</w:t>
      </w:r>
    </w:p>
    <w:p w14:paraId="1542457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①安排专人专项对接医疗责任险理赔事宜，被保险人收齐理赔材料后，及时通知保险人至被保险人指定地点领取资料。</w:t>
      </w:r>
    </w:p>
    <w:p w14:paraId="7CC9074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②发生医疗纠纷，被保险人报案后，中标的保险公司必须派出具有医学和法学知识的专业团队参加与患方的沟通协调会，积极、主动地化解矛盾。患方向医院提出损害赔偿请求后，保险公司助理调解员、理赔专员(须相对固定)及时到场并配合医院做好患方引导工作，保险公司全程参与纠纷处置。</w:t>
      </w:r>
    </w:p>
    <w:p w14:paraId="7E0CBD3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③当发生医疗投诉/纠纷时，保险人收到被保险人的赔偿或者给付保险金的请求后，应当在7个工作日内作出核定，并将核定结果通知被保险人。</w:t>
      </w:r>
      <w:r>
        <w:rPr>
          <w:rFonts w:hint="default" w:ascii="方正仿宋简体" w:hAnsi="方正仿宋简体" w:eastAsia="方正仿宋简体" w:cs="方正仿宋简体"/>
          <w:sz w:val="32"/>
          <w:szCs w:val="32"/>
          <w:lang w:val="en-US" w:eastAsia="zh-CN"/>
        </w:rPr>
        <w:t>对不属于保险责任的，应当向投保人和被保险人发出拒绝赔偿通知书并书面说明理由。</w:t>
      </w:r>
    </w:p>
    <w:p w14:paraId="645A13F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bookmarkStart w:id="3" w:name="OLE_LINK2"/>
      <w:r>
        <w:rPr>
          <w:rFonts w:hint="eastAsia" w:ascii="方正仿宋简体" w:hAnsi="方正仿宋简体" w:eastAsia="方正仿宋简体" w:cs="方正仿宋简体"/>
          <w:sz w:val="32"/>
          <w:szCs w:val="32"/>
          <w:lang w:val="en-US" w:eastAsia="zh-CN"/>
        </w:rPr>
        <w:t>④2万以下的赔偿，保险人在接到报案后，应在12小时内介入处理，并在48小时内向医院出具加盖保险公司鲜章的书面赔偿意见。若保险人未按时提出书面意见，医院有权自行与患者协商或进行处理，并可依据后续签订的赔偿协议书或调解协议书，作为保险理赔的直接依据。</w:t>
      </w:r>
    </w:p>
    <w:p w14:paraId="03C6C47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⑤2万元以上的赔偿凭人民调解书、法院判决书、裁定，仲裁机构裁定等文书作为理赔依据。被保险人自行协商的，保险人经被保险人口头或书面告知参与而未参与协商或未提供书面盖有保险人鲜章的赔偿意见书的，被保险人凭其所聘的法律顾问提供的法律意见书及赔偿协议书进行理赔；所有法院出具的判决、裁定，仲裁机构出具的裁定，人民调解委员会出具的调解书作出的赔偿内容，应作为保险公司理赔的依据，保险人应当按照文书载明金额赔偿。</w:t>
      </w:r>
    </w:p>
    <w:p w14:paraId="3B2BB2A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⑥保险期间内，若医务人员名单发生变动，增加或删除的人员数量在投保总人数( 30 )%以内（含），保险人不增收保险费或退回保险费；增加或删除的人员数量超过投保总人数(30)%的，按照短期费率增收或退回保险费。</w:t>
      </w:r>
    </w:p>
    <w:p w14:paraId="088DB48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⑦每年提供不低于两次医疗风险防范知识培训、医疗风险防范咨询、医疗风险防范知识讲座及相关法律辅导等。培训的形式、内容、时间和地点应根据被保险人的培训需求，由双方进行沟通确定。</w:t>
      </w:r>
      <w:bookmarkEnd w:id="3"/>
    </w:p>
    <w:p w14:paraId="7B89D2D1">
      <w:pPr>
        <w:pStyle w:val="8"/>
        <w:keepNext w:val="0"/>
        <w:keepLines w:val="0"/>
        <w:pageBreakBefore w:val="0"/>
        <w:kinsoku/>
        <w:wordWrap/>
        <w:overflowPunct/>
        <w:topLinePunct w:val="0"/>
        <w:bidi w:val="0"/>
        <w:snapToGrid/>
        <w:spacing w:line="580" w:lineRule="exact"/>
        <w:ind w:firstLine="640" w:firstLineChars="200"/>
        <w:jc w:val="left"/>
        <w:textAlignment w:val="auto"/>
        <w:rPr>
          <w:rFonts w:hint="eastAsia" w:ascii="方正仿宋简体" w:hAnsi="方正仿宋简体" w:eastAsia="方正仿宋简体" w:cs="方正仿宋简体"/>
          <w:color w:val="000000"/>
          <w:kern w:val="2"/>
          <w:sz w:val="32"/>
          <w:szCs w:val="32"/>
          <w:lang w:val="en-US" w:eastAsia="zh-CN" w:bidi="ar-SA"/>
        </w:rPr>
      </w:pPr>
      <w:r>
        <w:rPr>
          <w:rFonts w:hint="eastAsia" w:ascii="方正仿宋简体" w:hAnsi="方正仿宋简体" w:eastAsia="方正仿宋简体" w:cs="方正仿宋简体"/>
          <w:color w:val="000000"/>
          <w:kern w:val="2"/>
          <w:sz w:val="32"/>
          <w:szCs w:val="32"/>
          <w:lang w:val="en-US" w:eastAsia="zh-CN" w:bidi="ar-SA"/>
        </w:rPr>
        <w:t>（四）与采购人签订外聘合同以及医院根据帮扶政策的外聘医务人员(或上级医院派出的会诊医务人员)等视为采购人的医务人员，上述人员在该项目履约地点的执业过程中产生的医疗纠纷纳入承保范围，按双方合同执行，但不计入医院医务人员医疗责任保险名单数量中。</w:t>
      </w:r>
    </w:p>
    <w:p w14:paraId="79D03A92">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16050"/>
    <w:rsid w:val="61D16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val="0"/>
      <w:keepLines w:val="0"/>
      <w:spacing w:beforeLines="0" w:beforeAutospacing="0" w:afterLines="0" w:afterAutospacing="0" w:line="680" w:lineRule="exact"/>
      <w:ind w:firstLine="0" w:firstLineChars="0"/>
      <w:jc w:val="center"/>
      <w:outlineLvl w:val="0"/>
    </w:pPr>
    <w:rPr>
      <w:rFonts w:eastAsia="方正小标宋_GBK"/>
      <w:kern w:val="44"/>
      <w:sz w:val="44"/>
    </w:rPr>
  </w:style>
  <w:style w:type="paragraph" w:styleId="3">
    <w:name w:val="heading 2"/>
    <w:basedOn w:val="1"/>
    <w:next w:val="1"/>
    <w:unhideWhenUsed/>
    <w:qFormat/>
    <w:uiPriority w:val="0"/>
    <w:pPr>
      <w:keepNext w:val="0"/>
      <w:keepLines w:val="0"/>
      <w:spacing w:beforeLines="0" w:beforeAutospacing="0" w:afterLines="0" w:afterAutospacing="0" w:line="590" w:lineRule="exact"/>
      <w:ind w:firstLine="880" w:firstLineChars="200"/>
      <w:outlineLvl w:val="1"/>
    </w:pPr>
    <w:rPr>
      <w:rFonts w:ascii="Times New Roman" w:hAnsi="Times New Roman" w:eastAsia="方正黑体_GBK"/>
      <w:sz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next w:val="1"/>
    <w:unhideWhenUsed/>
    <w:qFormat/>
    <w:uiPriority w:val="0"/>
    <w:pPr>
      <w:spacing w:line="590" w:lineRule="exact"/>
      <w:ind w:firstLine="990" w:firstLineChars="200"/>
    </w:pPr>
    <w:rPr>
      <w:rFonts w:ascii="Times New Roman" w:hAnsi="Times New Roman" w:eastAsia="方正仿宋_GBK"/>
      <w:sz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2026-04-30T03:22:00Z</dcterms:created>
  <dc:creator>取个名字很麻烦</dc:creator>
  <cp:lastModifiedBy>取个名字很麻烦</cp:lastModifiedBy>
  <dcterms:modified xsi:type="dcterms:W3CDTF">2026-04-30T03:25:13Z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49EDD8F207094FE89134080660BA9CEF_11</vt:lpwstr>
  </property>
  <property fmtid="{D5CDD505-2E9C-101B-9397-08002B2CF9AE}" pid="4" name="KSOTemplateDocerSaveRecord">
    <vt:lpwstr>eyJoZGlkIjoiOTU5NmE1ZjM2ZDMxNzZjOWUwYzNjMGMzMTY5ZmE4MmIiLCJ1c2VySWQiOiIzMTM5MTY0NzcifQ==</vt:lpwstr>
  </property>
</Properties>
</file>