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93C7">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4"/>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bookmarkStart w:id="3" w:name="_GoBack"/>
      <w:bookmarkEnd w:id="3"/>
    </w:p>
    <w:p w14:paraId="77FDB871">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both"/>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39B35E40">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24A8F3F7">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4"/>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成都市青白江区中医医院集团</w:t>
      </w:r>
    </w:p>
    <w:p w14:paraId="3B7BCC8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遴选三家招标代理机构项目</w:t>
      </w:r>
    </w:p>
    <w:p w14:paraId="2578A8C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Style w:val="14"/>
          <w:rFonts w:hint="eastAsia" w:ascii="宋体" w:hAnsi="宋体" w:eastAsia="宋体" w:cs="宋体"/>
          <w:i w:val="0"/>
          <w:caps w:val="0"/>
          <w:color w:val="000000"/>
          <w:spacing w:val="8"/>
          <w:sz w:val="52"/>
          <w:szCs w:val="52"/>
          <w:shd w:val="clear" w:color="auto" w:fill="FFFFFF"/>
        </w:rPr>
      </w:pPr>
    </w:p>
    <w:p w14:paraId="435B347F">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center"/>
        <w:textAlignment w:val="auto"/>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比 选 文 件 </w:t>
      </w:r>
    </w:p>
    <w:p w14:paraId="6FE7E7DD">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4A99D209">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04E248EE">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1303845C">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723FA61C">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563AEC1A">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0B7B8DE1">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5124E489">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Chars="0"/>
        <w:jc w:val="both"/>
        <w:rPr>
          <w:rFonts w:hint="eastAsia" w:ascii="微软雅黑" w:hAnsi="微软雅黑" w:eastAsia="微软雅黑" w:cs="微软雅黑"/>
          <w:i w:val="0"/>
          <w:caps w:val="0"/>
          <w:color w:val="333333"/>
          <w:spacing w:val="8"/>
          <w:sz w:val="25"/>
          <w:szCs w:val="25"/>
        </w:rPr>
      </w:pPr>
    </w:p>
    <w:p w14:paraId="775F24FC">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微软雅黑" w:hAnsi="微软雅黑" w:eastAsia="方正仿宋简体" w:cs="微软雅黑"/>
          <w:i w:val="0"/>
          <w:caps w:val="0"/>
          <w:color w:val="333333"/>
          <w:spacing w:val="8"/>
          <w:sz w:val="25"/>
          <w:szCs w:val="25"/>
          <w:lang w:eastAsia="zh-CN"/>
        </w:rPr>
      </w:pP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采</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val="en-US" w:eastAsia="zh-CN"/>
        </w:rPr>
        <w:t xml:space="preserve"> </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购</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rPr>
        <w:t xml:space="preserve"> 人：</w:t>
      </w:r>
      <w:r>
        <w:rPr>
          <w:rStyle w:val="14"/>
          <w:rFonts w:hint="eastAsia" w:ascii="方正仿宋简体" w:hAnsi="方正仿宋简体" w:eastAsia="方正仿宋简体" w:cs="方正仿宋简体"/>
          <w:b/>
          <w:bCs w:val="0"/>
          <w:i w:val="0"/>
          <w:caps w:val="0"/>
          <w:color w:val="333333"/>
          <w:spacing w:val="8"/>
          <w:sz w:val="30"/>
          <w:szCs w:val="30"/>
          <w:shd w:val="clear" w:color="auto" w:fill="FFFFFF"/>
          <w:lang w:eastAsia="zh-CN"/>
        </w:rPr>
        <w:t>成都市青白江区中医</w:t>
      </w:r>
      <w:r>
        <w:rPr>
          <w:rStyle w:val="14"/>
          <w:rFonts w:hint="eastAsia" w:ascii="方正仿宋简体" w:hAnsi="方正仿宋简体" w:eastAsia="方正仿宋简体" w:cs="方正仿宋简体"/>
          <w:b/>
          <w:bCs w:val="0"/>
          <w:i w:val="0"/>
          <w:caps w:val="0"/>
          <w:color w:val="333333"/>
          <w:spacing w:val="8"/>
          <w:sz w:val="30"/>
          <w:szCs w:val="30"/>
          <w:shd w:val="clear" w:color="auto" w:fill="FFFFFF"/>
        </w:rPr>
        <w:t>医院</w:t>
      </w:r>
      <w:r>
        <w:rPr>
          <w:rStyle w:val="14"/>
          <w:rFonts w:hint="eastAsia" w:ascii="方正仿宋简体" w:hAnsi="方正仿宋简体" w:eastAsia="方正仿宋简体" w:cs="方正仿宋简体"/>
          <w:b/>
          <w:bCs w:val="0"/>
          <w:i w:val="0"/>
          <w:caps w:val="0"/>
          <w:color w:val="333333"/>
          <w:spacing w:val="8"/>
          <w:sz w:val="30"/>
          <w:szCs w:val="30"/>
          <w:shd w:val="clear" w:color="auto" w:fill="FFFFFF"/>
          <w:lang w:val="en-US" w:eastAsia="zh-CN"/>
        </w:rPr>
        <w:t>集团</w:t>
      </w:r>
    </w:p>
    <w:p w14:paraId="21012A9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pPr>
      <w:r>
        <w:rPr>
          <w:rFonts w:hint="eastAsia" w:ascii="微软雅黑" w:hAnsi="微软雅黑" w:eastAsia="微软雅黑" w:cs="微软雅黑"/>
          <w:i w:val="0"/>
          <w:caps w:val="0"/>
          <w:color w:val="333333"/>
          <w:spacing w:val="8"/>
          <w:sz w:val="25"/>
          <w:szCs w:val="25"/>
          <w:lang w:val="en-US" w:eastAsia="zh-CN"/>
        </w:rPr>
        <w:t>2026年5月</w:t>
      </w:r>
    </w:p>
    <w:p w14:paraId="67700C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6780E2E7">
      <w:pP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2F3E7C3A">
      <w:pPr>
        <w:pStyle w:val="2"/>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5B40406A">
      <w:pPr>
        <w:pStyle w:val="9"/>
        <w:rPr>
          <w:rFonts w:hint="eastAsia"/>
          <w:lang w:val="en-US" w:eastAsia="zh-CN"/>
        </w:rPr>
      </w:pPr>
    </w:p>
    <w:p w14:paraId="01366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rPr>
      </w:pP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t>一、</w:t>
      </w: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t>参加比选</w:t>
      </w: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rPr>
        <w:t>人须知附表</w:t>
      </w:r>
    </w:p>
    <w:tbl>
      <w:tblPr>
        <w:tblStyle w:val="11"/>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
        <w:gridCol w:w="1414"/>
        <w:gridCol w:w="7905"/>
      </w:tblGrid>
      <w:tr w14:paraId="0589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325401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序号</w:t>
            </w:r>
          </w:p>
        </w:tc>
        <w:tc>
          <w:tcPr>
            <w:tcW w:w="1414" w:type="dxa"/>
            <w:tcBorders>
              <w:top w:val="single" w:color="auto" w:sz="6" w:space="0"/>
              <w:left w:val="nil"/>
              <w:bottom w:val="single" w:color="auto" w:sz="6" w:space="0"/>
              <w:right w:val="single" w:color="auto" w:sz="6" w:space="0"/>
            </w:tcBorders>
            <w:noWrap w:val="0"/>
            <w:tcMar>
              <w:left w:w="105" w:type="dxa"/>
              <w:right w:w="105" w:type="dxa"/>
            </w:tcMar>
            <w:vAlign w:val="center"/>
          </w:tcPr>
          <w:p w14:paraId="5E01E3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项  目</w:t>
            </w:r>
          </w:p>
        </w:tc>
        <w:tc>
          <w:tcPr>
            <w:tcW w:w="790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2D7A97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内   容</w:t>
            </w:r>
          </w:p>
        </w:tc>
      </w:tr>
      <w:tr w14:paraId="2340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29E6A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7909CE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val="en-US" w:eastAsia="zh-CN"/>
              </w:rPr>
              <w:t>单位</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19DA5C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333333"/>
                <w:spacing w:val="8"/>
                <w:sz w:val="18"/>
                <w:szCs w:val="18"/>
              </w:rPr>
              <w:t>名  称：</w:t>
            </w:r>
            <w:r>
              <w:rPr>
                <w:rFonts w:hint="eastAsia" w:ascii="宋体" w:hAnsi="宋体" w:eastAsia="宋体" w:cs="宋体"/>
                <w:i w:val="0"/>
                <w:caps w:val="0"/>
                <w:color w:val="333333"/>
                <w:spacing w:val="8"/>
                <w:sz w:val="18"/>
                <w:szCs w:val="18"/>
                <w:lang w:eastAsia="zh-CN"/>
              </w:rPr>
              <w:t>成都市青白江区中医</w:t>
            </w:r>
            <w:r>
              <w:rPr>
                <w:rFonts w:hint="eastAsia" w:ascii="宋体" w:hAnsi="宋体" w:eastAsia="宋体" w:cs="宋体"/>
                <w:i w:val="0"/>
                <w:caps w:val="0"/>
                <w:color w:val="333333"/>
                <w:spacing w:val="8"/>
                <w:sz w:val="18"/>
                <w:szCs w:val="18"/>
              </w:rPr>
              <w:t>医院</w:t>
            </w:r>
            <w:r>
              <w:rPr>
                <w:rFonts w:hint="eastAsia" w:ascii="宋体" w:hAnsi="宋体" w:cs="宋体"/>
                <w:i w:val="0"/>
                <w:caps w:val="0"/>
                <w:color w:val="333333"/>
                <w:spacing w:val="8"/>
                <w:sz w:val="18"/>
                <w:szCs w:val="18"/>
                <w:lang w:val="en-US" w:eastAsia="zh-CN"/>
              </w:rPr>
              <w:t>集团</w:t>
            </w:r>
          </w:p>
          <w:p w14:paraId="63F598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地  址：</w:t>
            </w:r>
            <w:r>
              <w:rPr>
                <w:rFonts w:hint="eastAsia" w:ascii="宋体" w:hAnsi="宋体" w:eastAsia="宋体" w:cs="宋体"/>
                <w:i w:val="0"/>
                <w:caps w:val="0"/>
                <w:color w:val="333333"/>
                <w:spacing w:val="8"/>
                <w:sz w:val="18"/>
                <w:szCs w:val="18"/>
                <w:lang w:val="en-US" w:eastAsia="zh-CN"/>
              </w:rPr>
              <w:t>成都市青白江区华金大道二段</w:t>
            </w:r>
            <w:r>
              <w:rPr>
                <w:rFonts w:hint="default" w:ascii="宋体" w:hAnsi="宋体" w:eastAsia="宋体" w:cs="宋体"/>
                <w:i w:val="0"/>
                <w:caps w:val="0"/>
                <w:color w:val="333333"/>
                <w:spacing w:val="8"/>
                <w:sz w:val="18"/>
                <w:szCs w:val="18"/>
                <w:lang w:val="en-US" w:eastAsia="zh-CN"/>
              </w:rPr>
              <w:t>939</w:t>
            </w:r>
            <w:r>
              <w:rPr>
                <w:rFonts w:hint="eastAsia" w:ascii="宋体" w:hAnsi="宋体" w:eastAsia="宋体" w:cs="宋体"/>
                <w:i w:val="0"/>
                <w:caps w:val="0"/>
                <w:color w:val="333333"/>
                <w:spacing w:val="8"/>
                <w:sz w:val="18"/>
                <w:szCs w:val="18"/>
                <w:lang w:val="en-US" w:eastAsia="zh-CN"/>
              </w:rPr>
              <w:t>号</w:t>
            </w:r>
          </w:p>
          <w:p w14:paraId="45A037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咨询</w:t>
            </w:r>
            <w:r>
              <w:rPr>
                <w:rFonts w:hint="eastAsia" w:ascii="宋体" w:hAnsi="宋体" w:eastAsia="宋体" w:cs="宋体"/>
                <w:i w:val="0"/>
                <w:caps w:val="0"/>
                <w:color w:val="333333"/>
                <w:spacing w:val="8"/>
                <w:sz w:val="18"/>
                <w:szCs w:val="18"/>
                <w:lang w:val="en-US" w:eastAsia="zh-CN"/>
              </w:rPr>
              <w:t>电话：028-89300569</w:t>
            </w:r>
          </w:p>
        </w:tc>
      </w:tr>
      <w:tr w14:paraId="1437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DE4C6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5D2F03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方式</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35F16A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综合评分法</w:t>
            </w:r>
          </w:p>
        </w:tc>
      </w:tr>
      <w:tr w14:paraId="1595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0B01E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25A0D4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项目编号</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393122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default" w:ascii="宋体" w:hAnsi="宋体" w:eastAsia="宋体" w:cs="宋体"/>
                <w:i w:val="0"/>
                <w:caps w:val="0"/>
                <w:color w:val="333333"/>
                <w:spacing w:val="8"/>
                <w:sz w:val="18"/>
                <w:szCs w:val="18"/>
                <w:lang w:val="en-US" w:eastAsia="zh-CN"/>
              </w:rPr>
              <w:t>202</w:t>
            </w:r>
            <w:r>
              <w:rPr>
                <w:rFonts w:hint="eastAsia" w:ascii="宋体" w:hAnsi="宋体" w:eastAsia="宋体" w:cs="宋体"/>
                <w:i w:val="0"/>
                <w:caps w:val="0"/>
                <w:color w:val="333333"/>
                <w:spacing w:val="8"/>
                <w:sz w:val="18"/>
                <w:szCs w:val="18"/>
                <w:lang w:val="en-US" w:eastAsia="zh-CN"/>
              </w:rPr>
              <w:t>605</w:t>
            </w:r>
            <w:r>
              <w:rPr>
                <w:rFonts w:hint="default" w:ascii="宋体" w:hAnsi="宋体" w:eastAsia="宋体" w:cs="宋体"/>
                <w:i w:val="0"/>
                <w:caps w:val="0"/>
                <w:color w:val="333333"/>
                <w:spacing w:val="8"/>
                <w:sz w:val="18"/>
                <w:szCs w:val="18"/>
                <w:lang w:val="en-US" w:eastAsia="zh-CN"/>
              </w:rPr>
              <w:t>-1</w:t>
            </w:r>
            <w:r>
              <w:rPr>
                <w:rFonts w:hint="eastAsia" w:ascii="宋体" w:hAnsi="宋体" w:eastAsia="宋体" w:cs="宋体"/>
                <w:i w:val="0"/>
                <w:caps w:val="0"/>
                <w:color w:val="333333"/>
                <w:spacing w:val="8"/>
                <w:sz w:val="18"/>
                <w:szCs w:val="18"/>
                <w:lang w:val="en-US" w:eastAsia="zh-CN"/>
              </w:rPr>
              <w:t>号。</w:t>
            </w:r>
          </w:p>
        </w:tc>
      </w:tr>
      <w:tr w14:paraId="1F5A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05D3F0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4</w:t>
            </w:r>
          </w:p>
        </w:tc>
        <w:tc>
          <w:tcPr>
            <w:tcW w:w="1414" w:type="dxa"/>
            <w:vMerge w:val="restart"/>
            <w:tcBorders>
              <w:top w:val="nil"/>
              <w:left w:val="nil"/>
              <w:bottom w:val="single" w:color="auto" w:sz="6" w:space="0"/>
              <w:right w:val="single" w:color="auto" w:sz="6" w:space="0"/>
            </w:tcBorders>
            <w:noWrap w:val="0"/>
            <w:tcMar>
              <w:left w:w="105" w:type="dxa"/>
              <w:right w:w="105" w:type="dxa"/>
            </w:tcMar>
            <w:vAlign w:val="center"/>
          </w:tcPr>
          <w:p w14:paraId="3C6C3D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r>
              <w:rPr>
                <w:rFonts w:hint="eastAsia" w:ascii="宋体" w:hAnsi="宋体" w:cs="宋体"/>
                <w:i w:val="0"/>
                <w:caps w:val="0"/>
                <w:color w:val="333333"/>
                <w:spacing w:val="8"/>
                <w:sz w:val="18"/>
                <w:szCs w:val="18"/>
                <w:lang w:eastAsia="zh-CN"/>
              </w:rPr>
              <w:t>获取</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3ACF58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1、</w:t>
            </w:r>
            <w:r>
              <w:rPr>
                <w:rFonts w:hint="eastAsia" w:ascii="宋体" w:hAnsi="宋体" w:eastAsia="宋体" w:cs="宋体"/>
                <w:i w:val="0"/>
                <w:caps w:val="0"/>
                <w:color w:val="333333"/>
                <w:spacing w:val="8"/>
                <w:sz w:val="18"/>
                <w:szCs w:val="18"/>
              </w:rPr>
              <w:t>领取地点：</w:t>
            </w:r>
            <w:r>
              <w:rPr>
                <w:rFonts w:hint="eastAsia" w:ascii="宋体" w:hAnsi="宋体" w:eastAsia="宋体" w:cs="宋体"/>
                <w:i w:val="0"/>
                <w:caps w:val="0"/>
                <w:color w:val="333333"/>
                <w:spacing w:val="8"/>
                <w:sz w:val="18"/>
                <w:szCs w:val="18"/>
                <w:lang w:eastAsia="zh-CN"/>
              </w:rPr>
              <w:t>成都市青白江区中医医院官方网站</w:t>
            </w:r>
            <w:r>
              <w:rPr>
                <w:rFonts w:hint="eastAsia" w:ascii="宋体" w:hAnsi="宋体" w:eastAsia="宋体" w:cs="宋体"/>
                <w:i w:val="0"/>
                <w:caps w:val="0"/>
                <w:color w:val="333333"/>
                <w:spacing w:val="8"/>
                <w:sz w:val="18"/>
                <w:szCs w:val="18"/>
              </w:rPr>
              <w:t>获取</w:t>
            </w:r>
          </w:p>
        </w:tc>
      </w:tr>
      <w:tr w14:paraId="7BB78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46DD37B4">
            <w:pPr>
              <w:keepNext w:val="0"/>
              <w:keepLines w:val="0"/>
              <w:pageBreakBefore w:val="0"/>
              <w:shd w:val="clear" w:color="auto" w:fill="auto"/>
              <w:kinsoku/>
              <w:overflowPunct/>
              <w:topLinePunct w:val="0"/>
              <w:autoSpaceDE/>
              <w:autoSpaceDN/>
              <w:bidi w:val="0"/>
              <w:adjustRightInd/>
              <w:snapToGrid/>
              <w:spacing w:line="300" w:lineRule="exact"/>
              <w:ind w:left="0"/>
              <w:jc w:val="center"/>
              <w:textAlignment w:val="auto"/>
              <w:rPr>
                <w:rFonts w:hint="eastAsia" w:ascii="宋体" w:hAnsi="宋体" w:eastAsia="宋体" w:cs="宋体"/>
                <w:i w:val="0"/>
                <w:caps w:val="0"/>
                <w:color w:val="333333"/>
                <w:spacing w:val="8"/>
                <w:sz w:val="18"/>
                <w:szCs w:val="18"/>
              </w:rPr>
            </w:pPr>
          </w:p>
        </w:tc>
        <w:tc>
          <w:tcPr>
            <w:tcW w:w="1414" w:type="dxa"/>
            <w:vMerge w:val="continue"/>
            <w:tcBorders>
              <w:top w:val="nil"/>
              <w:left w:val="nil"/>
              <w:bottom w:val="single" w:color="auto" w:sz="6" w:space="0"/>
              <w:right w:val="single" w:color="auto" w:sz="6" w:space="0"/>
            </w:tcBorders>
            <w:noWrap w:val="0"/>
            <w:tcMar>
              <w:left w:w="105" w:type="dxa"/>
              <w:right w:w="105" w:type="dxa"/>
            </w:tcMar>
            <w:vAlign w:val="center"/>
          </w:tcPr>
          <w:p w14:paraId="098289D8">
            <w:pPr>
              <w:keepNext w:val="0"/>
              <w:keepLines w:val="0"/>
              <w:pageBreakBefore w:val="0"/>
              <w:shd w:val="clear" w:color="auto" w:fill="auto"/>
              <w:kinsoku/>
              <w:overflowPunct/>
              <w:topLinePunct w:val="0"/>
              <w:autoSpaceDE/>
              <w:autoSpaceDN/>
              <w:bidi w:val="0"/>
              <w:adjustRightInd/>
              <w:snapToGrid/>
              <w:spacing w:line="300" w:lineRule="exact"/>
              <w:jc w:val="center"/>
              <w:textAlignment w:val="auto"/>
              <w:rPr>
                <w:rFonts w:hint="eastAsia" w:ascii="宋体" w:hAnsi="宋体" w:eastAsia="宋体" w:cs="宋体"/>
                <w:i w:val="0"/>
                <w:caps w:val="0"/>
                <w:color w:val="333333"/>
                <w:spacing w:val="8"/>
                <w:sz w:val="18"/>
                <w:szCs w:val="18"/>
              </w:rPr>
            </w:pP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337A7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2、金额：</w:t>
            </w:r>
            <w:r>
              <w:rPr>
                <w:rFonts w:hint="eastAsia" w:ascii="宋体" w:hAnsi="宋体" w:eastAsia="宋体" w:cs="宋体"/>
                <w:i w:val="0"/>
                <w:caps w:val="0"/>
                <w:color w:val="333333"/>
                <w:spacing w:val="8"/>
                <w:sz w:val="18"/>
                <w:szCs w:val="18"/>
                <w:u w:val="single"/>
              </w:rPr>
              <w:t>免费</w:t>
            </w:r>
            <w:r>
              <w:rPr>
                <w:rFonts w:hint="eastAsia" w:ascii="宋体" w:hAnsi="宋体" w:eastAsia="宋体" w:cs="宋体"/>
                <w:i w:val="0"/>
                <w:caps w:val="0"/>
                <w:color w:val="333333"/>
                <w:spacing w:val="8"/>
                <w:sz w:val="18"/>
                <w:szCs w:val="18"/>
              </w:rPr>
              <w:t>，有意者来人来电咨询</w:t>
            </w:r>
          </w:p>
        </w:tc>
      </w:tr>
      <w:tr w14:paraId="451E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028D5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val="en-US" w:eastAsia="zh-CN"/>
              </w:rPr>
            </w:pPr>
            <w:r>
              <w:rPr>
                <w:rFonts w:hint="eastAsia" w:ascii="宋体" w:hAnsi="宋体" w:eastAsia="宋体" w:cs="宋体"/>
                <w:i w:val="0"/>
                <w:caps w:val="0"/>
                <w:color w:val="333333"/>
                <w:spacing w:val="8"/>
                <w:sz w:val="18"/>
                <w:szCs w:val="18"/>
                <w:lang w:val="en-US" w:eastAsia="zh-CN"/>
              </w:rPr>
              <w:t>5</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054786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采购控制价</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04C4CE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i w:val="0"/>
                <w:caps w:val="0"/>
                <w:color w:val="auto"/>
                <w:spacing w:val="8"/>
                <w:sz w:val="18"/>
                <w:szCs w:val="18"/>
                <w:lang w:val="en-US" w:eastAsia="zh-CN"/>
              </w:rPr>
            </w:pPr>
            <w:r>
              <w:rPr>
                <w:rFonts w:hint="eastAsia" w:ascii="宋体" w:hAnsi="宋体" w:eastAsia="宋体" w:cs="宋体"/>
                <w:i w:val="0"/>
                <w:caps w:val="0"/>
                <w:color w:val="333333"/>
                <w:spacing w:val="8"/>
                <w:sz w:val="18"/>
                <w:szCs w:val="18"/>
                <w:lang w:val="en-US" w:eastAsia="zh-CN"/>
              </w:rPr>
              <w:t>控制价为：</w:t>
            </w:r>
            <w:r>
              <w:rPr>
                <w:rFonts w:hint="default" w:ascii="宋体" w:hAnsi="宋体" w:cs="宋体"/>
                <w:i w:val="0"/>
                <w:caps w:val="0"/>
                <w:color w:val="333333"/>
                <w:spacing w:val="8"/>
                <w:sz w:val="18"/>
                <w:szCs w:val="18"/>
                <w:lang w:val="en-US" w:eastAsia="zh-CN"/>
              </w:rPr>
              <w:t>/</w:t>
            </w:r>
          </w:p>
        </w:tc>
      </w:tr>
      <w:tr w14:paraId="28B3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2F5E0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6</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59AC1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投标有效期</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199DE7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i w:val="0"/>
                <w:caps w:val="0"/>
                <w:color w:val="auto"/>
                <w:spacing w:val="8"/>
                <w:sz w:val="18"/>
                <w:szCs w:val="18"/>
                <w:lang w:val="en-US" w:eastAsia="zh-CN"/>
              </w:rPr>
              <w:t>响应文件递交截止之日起</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rPr>
              <w:t>日内</w:t>
            </w:r>
            <w:r>
              <w:rPr>
                <w:rFonts w:hint="eastAsia" w:ascii="宋体" w:hAnsi="宋体" w:eastAsia="宋体" w:cs="宋体"/>
                <w:i w:val="0"/>
                <w:caps w:val="0"/>
                <w:color w:val="auto"/>
                <w:spacing w:val="8"/>
                <w:sz w:val="18"/>
                <w:szCs w:val="18"/>
                <w:lang w:eastAsia="zh-CN"/>
              </w:rPr>
              <w:t>。</w:t>
            </w:r>
          </w:p>
        </w:tc>
      </w:tr>
      <w:tr w14:paraId="034A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7"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5C6C7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7</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1D1681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p>
          <w:p w14:paraId="5DF1BA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要求</w:t>
            </w:r>
          </w:p>
          <w:p w14:paraId="4F7FF4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2C1B48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eastAsia="宋体" w:cs="宋体"/>
                <w:i w:val="0"/>
                <w:caps w:val="0"/>
                <w:color w:val="auto"/>
                <w:spacing w:val="8"/>
                <w:sz w:val="18"/>
                <w:szCs w:val="18"/>
                <w:lang w:val="en-US"/>
              </w:rPr>
            </w:pPr>
            <w:r>
              <w:rPr>
                <w:rFonts w:hint="eastAsia" w:ascii="宋体" w:hAnsi="宋体" w:eastAsia="宋体" w:cs="宋体"/>
                <w:i w:val="0"/>
                <w:caps w:val="0"/>
                <w:color w:val="auto"/>
                <w:spacing w:val="8"/>
                <w:sz w:val="18"/>
                <w:szCs w:val="18"/>
              </w:rPr>
              <w:t>资格预审文件与报价文件</w:t>
            </w:r>
            <w:r>
              <w:rPr>
                <w:rFonts w:hint="eastAsia" w:ascii="宋体" w:hAnsi="宋体" w:eastAsia="宋体" w:cs="宋体"/>
                <w:i w:val="0"/>
                <w:caps w:val="0"/>
                <w:color w:val="auto"/>
                <w:spacing w:val="8"/>
                <w:sz w:val="18"/>
                <w:szCs w:val="18"/>
                <w:lang w:eastAsia="zh-CN"/>
              </w:rPr>
              <w:t>装订在一册。</w:t>
            </w:r>
          </w:p>
          <w:p w14:paraId="1666FB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文件递交：各</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单位自带</w:t>
            </w:r>
            <w:r>
              <w:rPr>
                <w:rFonts w:hint="eastAsia" w:ascii="宋体" w:hAnsi="宋体" w:cs="宋体"/>
                <w:i w:val="0"/>
                <w:caps w:val="0"/>
                <w:color w:val="auto"/>
                <w:spacing w:val="8"/>
                <w:sz w:val="18"/>
                <w:szCs w:val="18"/>
                <w:lang w:eastAsia="zh-CN"/>
              </w:rPr>
              <w:t>到</w:t>
            </w:r>
            <w:r>
              <w:rPr>
                <w:rFonts w:hint="eastAsia" w:ascii="宋体" w:hAnsi="宋体" w:eastAsia="宋体" w:cs="宋体"/>
                <w:i w:val="0"/>
                <w:caps w:val="0"/>
                <w:color w:val="auto"/>
                <w:spacing w:val="8"/>
                <w:sz w:val="18"/>
                <w:szCs w:val="18"/>
              </w:rPr>
              <w:t>现场</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须按本节要求准备，加盖</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人公章并按顺序进行装订；《</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文件》制作</w:t>
            </w:r>
            <w:r>
              <w:rPr>
                <w:rFonts w:hint="eastAsia" w:ascii="宋体" w:hAnsi="宋体" w:eastAsia="宋体" w:cs="宋体"/>
                <w:i w:val="0"/>
                <w:caps w:val="0"/>
                <w:color w:val="auto"/>
                <w:spacing w:val="8"/>
                <w:sz w:val="18"/>
                <w:szCs w:val="18"/>
                <w:lang w:val="en-US" w:eastAsia="zh-CN"/>
              </w:rPr>
              <w:t>并</w:t>
            </w:r>
            <w:r>
              <w:rPr>
                <w:rFonts w:hint="eastAsia" w:ascii="宋体" w:hAnsi="宋体" w:eastAsia="宋体" w:cs="宋体"/>
                <w:i w:val="0"/>
                <w:caps w:val="0"/>
                <w:color w:val="auto"/>
                <w:spacing w:val="8"/>
                <w:sz w:val="18"/>
                <w:szCs w:val="18"/>
                <w:lang w:eastAsia="zh-CN"/>
              </w:rPr>
              <w:t>装订</w:t>
            </w:r>
            <w:r>
              <w:rPr>
                <w:rFonts w:hint="eastAsia" w:ascii="宋体" w:hAnsi="宋体" w:eastAsia="宋体" w:cs="宋体"/>
                <w:i w:val="0"/>
                <w:caps w:val="0"/>
                <w:color w:val="auto"/>
                <w:spacing w:val="8"/>
                <w:sz w:val="18"/>
                <w:szCs w:val="18"/>
              </w:rPr>
              <w:t>成</w:t>
            </w:r>
            <w:r>
              <w:rPr>
                <w:rFonts w:hint="eastAsia" w:ascii="宋体" w:hAnsi="宋体" w:cs="宋体"/>
                <w:i w:val="0"/>
                <w:caps w:val="0"/>
                <w:color w:val="auto"/>
                <w:spacing w:val="8"/>
                <w:sz w:val="18"/>
                <w:szCs w:val="18"/>
                <w:lang w:eastAsia="zh-CN"/>
              </w:rPr>
              <w:t>一</w:t>
            </w:r>
            <w:r>
              <w:rPr>
                <w:rFonts w:hint="eastAsia" w:ascii="宋体" w:hAnsi="宋体" w:eastAsia="宋体" w:cs="宋体"/>
                <w:i w:val="0"/>
                <w:caps w:val="0"/>
                <w:color w:val="auto"/>
                <w:spacing w:val="8"/>
                <w:sz w:val="18"/>
                <w:szCs w:val="18"/>
              </w:rPr>
              <w:t>册。以下文件需</w:t>
            </w:r>
            <w:r>
              <w:rPr>
                <w:rFonts w:hint="eastAsia" w:ascii="宋体" w:hAnsi="宋体" w:eastAsia="宋体" w:cs="宋体"/>
                <w:i w:val="0"/>
                <w:caps w:val="0"/>
                <w:color w:val="auto"/>
                <w:spacing w:val="8"/>
                <w:sz w:val="18"/>
                <w:szCs w:val="18"/>
                <w:lang w:eastAsia="zh-CN"/>
              </w:rPr>
              <w:t>密封（密封封面及比选文件均需加盖公章）</w:t>
            </w:r>
            <w:r>
              <w:rPr>
                <w:rFonts w:hint="eastAsia" w:ascii="宋体" w:hAnsi="宋体" w:eastAsia="宋体" w:cs="宋体"/>
                <w:i w:val="0"/>
                <w:caps w:val="0"/>
                <w:color w:val="auto"/>
                <w:spacing w:val="8"/>
                <w:sz w:val="18"/>
                <w:szCs w:val="18"/>
              </w:rPr>
              <w:t>。若</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人参与多个标段的投标，必须为每个标段单独制作</w:t>
            </w:r>
            <w:r>
              <w:rPr>
                <w:rFonts w:hint="eastAsia" w:ascii="宋体" w:hAnsi="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w:t>
            </w:r>
            <w:r>
              <w:rPr>
                <w:rFonts w:hint="eastAsia" w:ascii="宋体" w:hAnsi="宋体" w:eastAsia="宋体" w:cs="宋体"/>
                <w:i w:val="0"/>
                <w:caps w:val="0"/>
                <w:color w:val="auto"/>
                <w:spacing w:val="8"/>
                <w:sz w:val="18"/>
                <w:szCs w:val="18"/>
                <w:lang w:eastAsia="zh-CN"/>
              </w:rPr>
              <w:t>。</w:t>
            </w:r>
          </w:p>
          <w:p w14:paraId="16AFF1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3" w:firstLineChars="200"/>
              <w:jc w:val="both"/>
              <w:textAlignment w:val="auto"/>
              <w:rPr>
                <w:rFonts w:hint="eastAsia" w:ascii="宋体" w:hAnsi="宋体" w:eastAsia="宋体" w:cs="宋体"/>
                <w:b/>
                <w:bCs/>
                <w:sz w:val="18"/>
                <w:szCs w:val="18"/>
              </w:rPr>
            </w:pPr>
            <w:r>
              <w:rPr>
                <w:rFonts w:hint="eastAsia" w:ascii="宋体" w:hAnsi="宋体" w:eastAsia="宋体" w:cs="宋体"/>
                <w:b/>
                <w:bCs/>
                <w:i w:val="0"/>
                <w:caps w:val="0"/>
                <w:color w:val="333333"/>
                <w:spacing w:val="8"/>
                <w:sz w:val="18"/>
                <w:szCs w:val="18"/>
              </w:rPr>
              <w:t>投标文件内容：</w:t>
            </w:r>
            <w:r>
              <w:rPr>
                <w:rFonts w:hint="eastAsia" w:ascii="宋体" w:hAnsi="宋体" w:eastAsia="宋体" w:cs="宋体"/>
                <w:i w:val="0"/>
                <w:caps w:val="0"/>
                <w:color w:val="333333"/>
                <w:spacing w:val="8"/>
                <w:sz w:val="18"/>
                <w:szCs w:val="18"/>
              </w:rPr>
              <w:t>（格式自拟</w:t>
            </w:r>
            <w:r>
              <w:rPr>
                <w:rFonts w:hint="eastAsia" w:ascii="宋体" w:hAnsi="宋体" w:eastAsia="宋体" w:cs="宋体"/>
                <w:i w:val="0"/>
                <w:caps w:val="0"/>
                <w:color w:val="333333"/>
                <w:spacing w:val="8"/>
                <w:sz w:val="18"/>
                <w:szCs w:val="18"/>
                <w:lang w:eastAsia="zh-CN"/>
              </w:rPr>
              <w:t>）；</w:t>
            </w:r>
          </w:p>
          <w:p w14:paraId="6553C8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经营企业投标须提供：</w:t>
            </w:r>
          </w:p>
          <w:p w14:paraId="27A549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1、投标函</w:t>
            </w:r>
            <w:r>
              <w:rPr>
                <w:rFonts w:hint="eastAsia" w:ascii="宋体" w:hAnsi="宋体" w:eastAsia="宋体" w:cs="宋体"/>
                <w:i w:val="0"/>
                <w:caps w:val="0"/>
                <w:color w:val="333333"/>
                <w:spacing w:val="8"/>
                <w:sz w:val="18"/>
                <w:szCs w:val="18"/>
                <w:lang w:eastAsia="zh-CN"/>
              </w:rPr>
              <w:t>；</w:t>
            </w:r>
          </w:p>
          <w:p w14:paraId="2DC28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2、授权委托书</w:t>
            </w:r>
            <w:r>
              <w:rPr>
                <w:rFonts w:hint="eastAsia" w:ascii="宋体" w:hAnsi="宋体" w:cs="宋体"/>
                <w:i w:val="0"/>
                <w:caps w:val="0"/>
                <w:color w:val="333333"/>
                <w:spacing w:val="8"/>
                <w:sz w:val="18"/>
                <w:szCs w:val="18"/>
                <w:lang w:eastAsia="zh-CN"/>
              </w:rPr>
              <w:t>、</w:t>
            </w:r>
            <w:r>
              <w:rPr>
                <w:rFonts w:hint="eastAsia" w:ascii="宋体" w:hAnsi="宋体" w:cs="宋体"/>
                <w:i w:val="0"/>
                <w:caps w:val="0"/>
                <w:color w:val="333333"/>
                <w:spacing w:val="8"/>
                <w:sz w:val="18"/>
                <w:szCs w:val="18"/>
                <w:lang w:val="en-US" w:eastAsia="zh-CN"/>
              </w:rPr>
              <w:t>身份证明材料</w:t>
            </w:r>
            <w:r>
              <w:rPr>
                <w:rFonts w:hint="eastAsia" w:ascii="宋体" w:hAnsi="宋体" w:eastAsia="宋体" w:cs="宋体"/>
                <w:i w:val="0"/>
                <w:caps w:val="0"/>
                <w:color w:val="333333"/>
                <w:spacing w:val="8"/>
                <w:sz w:val="18"/>
                <w:szCs w:val="18"/>
                <w:lang w:eastAsia="zh-CN"/>
              </w:rPr>
              <w:t>；</w:t>
            </w:r>
          </w:p>
          <w:p w14:paraId="6CC4D1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3、营业执照</w:t>
            </w:r>
            <w:r>
              <w:rPr>
                <w:rFonts w:hint="eastAsia" w:ascii="宋体" w:hAnsi="宋体" w:eastAsia="宋体" w:cs="宋体"/>
                <w:i w:val="0"/>
                <w:caps w:val="0"/>
                <w:color w:val="333333"/>
                <w:spacing w:val="8"/>
                <w:sz w:val="18"/>
                <w:szCs w:val="18"/>
                <w:lang w:eastAsia="zh-CN"/>
              </w:rPr>
              <w:t>；</w:t>
            </w:r>
          </w:p>
          <w:p w14:paraId="40FE9A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、投标报价表</w:t>
            </w:r>
            <w:r>
              <w:rPr>
                <w:rFonts w:hint="eastAsia" w:ascii="宋体" w:hAnsi="宋体" w:cs="宋体"/>
                <w:i w:val="0"/>
                <w:caps w:val="0"/>
                <w:color w:val="333333"/>
                <w:spacing w:val="8"/>
                <w:sz w:val="18"/>
                <w:szCs w:val="18"/>
                <w:lang w:eastAsia="zh-CN"/>
              </w:rPr>
              <w:t>；</w:t>
            </w:r>
          </w:p>
          <w:p w14:paraId="2FCF75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5</w:t>
            </w:r>
            <w:r>
              <w:rPr>
                <w:rFonts w:hint="eastAsia" w:ascii="宋体" w:hAnsi="宋体" w:eastAsia="宋体" w:cs="宋体"/>
                <w:i w:val="0"/>
                <w:caps w:val="0"/>
                <w:color w:val="333333"/>
                <w:spacing w:val="8"/>
                <w:sz w:val="18"/>
                <w:szCs w:val="18"/>
              </w:rPr>
              <w:t>、供应商基本情况表</w:t>
            </w:r>
            <w:r>
              <w:rPr>
                <w:rFonts w:hint="eastAsia" w:ascii="宋体" w:hAnsi="宋体" w:eastAsia="宋体" w:cs="宋体"/>
                <w:i w:val="0"/>
                <w:caps w:val="0"/>
                <w:color w:val="333333"/>
                <w:spacing w:val="8"/>
                <w:sz w:val="18"/>
                <w:szCs w:val="18"/>
                <w:lang w:eastAsia="zh-CN"/>
              </w:rPr>
              <w:t>；</w:t>
            </w:r>
          </w:p>
          <w:p w14:paraId="73C3DB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w:t>
            </w:r>
            <w:r>
              <w:rPr>
                <w:rFonts w:hint="eastAsia" w:ascii="宋体" w:hAnsi="宋体" w:eastAsia="宋体" w:cs="宋体"/>
                <w:i w:val="0"/>
                <w:caps w:val="0"/>
                <w:color w:val="333333"/>
                <w:spacing w:val="8"/>
                <w:sz w:val="18"/>
                <w:szCs w:val="18"/>
              </w:rPr>
              <w:t>供应商本项目管理、技术、服务人员情况表；</w:t>
            </w:r>
          </w:p>
          <w:p w14:paraId="1256AB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default" w:ascii="宋体" w:hAnsi="宋体" w:cs="宋体"/>
                <w:i w:val="0"/>
                <w:caps w:val="0"/>
                <w:color w:val="333333"/>
                <w:spacing w:val="8"/>
                <w:sz w:val="18"/>
                <w:szCs w:val="18"/>
                <w:lang w:val="en-US" w:eastAsia="zh-CN"/>
              </w:rPr>
              <w:t>7</w:t>
            </w:r>
            <w:r>
              <w:rPr>
                <w:rFonts w:hint="eastAsia" w:ascii="宋体" w:hAnsi="宋体" w:cs="宋体"/>
                <w:i w:val="0"/>
                <w:caps w:val="0"/>
                <w:color w:val="333333"/>
                <w:spacing w:val="8"/>
                <w:sz w:val="18"/>
                <w:szCs w:val="18"/>
                <w:lang w:val="en-US" w:eastAsia="zh-CN"/>
              </w:rPr>
              <w:t>、提供信用查询截图</w:t>
            </w:r>
            <w:r>
              <w:rPr>
                <w:rFonts w:hint="eastAsia" w:ascii="宋体" w:hAnsi="宋体" w:cs="宋体"/>
                <w:i w:val="0"/>
                <w:caps w:val="0"/>
                <w:color w:val="333333"/>
                <w:spacing w:val="8"/>
                <w:sz w:val="18"/>
                <w:szCs w:val="18"/>
                <w:lang w:eastAsia="zh-CN"/>
              </w:rPr>
              <w:t>；</w:t>
            </w:r>
          </w:p>
          <w:p w14:paraId="18884E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8</w:t>
            </w:r>
            <w:r>
              <w:rPr>
                <w:rFonts w:hint="eastAsia" w:ascii="宋体" w:hAnsi="宋体" w:cs="宋体"/>
                <w:i w:val="0"/>
                <w:caps w:val="0"/>
                <w:color w:val="333333"/>
                <w:spacing w:val="8"/>
                <w:sz w:val="18"/>
                <w:szCs w:val="18"/>
                <w:lang w:val="en-US" w:eastAsia="zh-CN"/>
              </w:rPr>
              <w:t>、财务状况报表；</w:t>
            </w:r>
          </w:p>
          <w:p w14:paraId="517796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9</w:t>
            </w:r>
            <w:r>
              <w:rPr>
                <w:rFonts w:hint="eastAsia" w:ascii="宋体" w:hAnsi="宋体" w:cs="宋体"/>
                <w:i w:val="0"/>
                <w:caps w:val="0"/>
                <w:color w:val="333333"/>
                <w:spacing w:val="8"/>
                <w:sz w:val="18"/>
                <w:szCs w:val="18"/>
                <w:lang w:val="en-US" w:eastAsia="zh-CN"/>
              </w:rPr>
              <w:t>、声明材料（见附件）。</w:t>
            </w:r>
          </w:p>
        </w:tc>
      </w:tr>
      <w:tr w14:paraId="6E21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846B7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8</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7C6F1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时间和地点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05688D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auto"/>
                <w:spacing w:val="8"/>
                <w:sz w:val="18"/>
                <w:szCs w:val="18"/>
                <w:lang w:eastAsia="zh-CN"/>
              </w:rPr>
            </w:pPr>
            <w:r>
              <w:rPr>
                <w:rFonts w:hint="eastAsia" w:ascii="宋体" w:hAnsi="宋体" w:eastAsia="宋体" w:cs="宋体"/>
                <w:i w:val="0"/>
                <w:caps w:val="0"/>
                <w:color w:val="auto"/>
                <w:spacing w:val="8"/>
                <w:sz w:val="18"/>
                <w:szCs w:val="18"/>
              </w:rPr>
              <w:t>1、时间：</w:t>
            </w:r>
            <w:r>
              <w:rPr>
                <w:rFonts w:hint="eastAsia" w:ascii="宋体" w:hAnsi="宋体" w:eastAsia="宋体" w:cs="宋体"/>
                <w:i w:val="0"/>
                <w:caps w:val="0"/>
                <w:color w:val="auto"/>
                <w:spacing w:val="8"/>
                <w:sz w:val="18"/>
                <w:szCs w:val="18"/>
                <w:lang w:val="en-US" w:eastAsia="zh-CN"/>
              </w:rPr>
              <w:t>202</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年</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月</w:t>
            </w:r>
            <w:r>
              <w:rPr>
                <w:rFonts w:hint="eastAsia" w:ascii="宋体" w:hAnsi="宋体" w:cs="宋体"/>
                <w:i w:val="0"/>
                <w:caps w:val="0"/>
                <w:color w:val="auto"/>
                <w:spacing w:val="8"/>
                <w:sz w:val="18"/>
                <w:szCs w:val="18"/>
                <w:lang w:val="en-US" w:eastAsia="zh-CN"/>
              </w:rPr>
              <w:t>5</w:t>
            </w:r>
            <w:r>
              <w:rPr>
                <w:rFonts w:hint="eastAsia" w:ascii="宋体" w:hAnsi="宋体" w:eastAsia="宋体" w:cs="宋体"/>
                <w:i w:val="0"/>
                <w:caps w:val="0"/>
                <w:color w:val="auto"/>
                <w:spacing w:val="8"/>
                <w:sz w:val="18"/>
                <w:szCs w:val="18"/>
                <w:lang w:val="en-US" w:eastAsia="zh-CN"/>
              </w:rPr>
              <w:t>日1</w:t>
            </w:r>
            <w:r>
              <w:rPr>
                <w:rFonts w:hint="default" w:ascii="宋体" w:hAnsi="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lang w:val="en-US" w:eastAsia="zh-CN"/>
              </w:rPr>
              <w:t>:</w:t>
            </w:r>
            <w:r>
              <w:rPr>
                <w:rFonts w:hint="default"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lang w:eastAsia="zh-CN"/>
              </w:rPr>
              <w:t>北京时间）</w:t>
            </w:r>
          </w:p>
          <w:p w14:paraId="6A3D7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auto"/>
                <w:spacing w:val="8"/>
                <w:sz w:val="18"/>
                <w:szCs w:val="18"/>
              </w:rPr>
              <w:t>2、地点：</w:t>
            </w:r>
            <w:r>
              <w:rPr>
                <w:rFonts w:hint="eastAsia" w:ascii="宋体" w:hAnsi="宋体" w:eastAsia="宋体" w:cs="宋体"/>
                <w:i w:val="0"/>
                <w:caps w:val="0"/>
                <w:color w:val="auto"/>
                <w:spacing w:val="8"/>
                <w:sz w:val="18"/>
                <w:szCs w:val="18"/>
                <w:lang w:val="en-US" w:eastAsia="zh-CN"/>
              </w:rPr>
              <w:t>成都市青白江区中医医院行政楼</w:t>
            </w:r>
          </w:p>
        </w:tc>
      </w:tr>
      <w:tr w14:paraId="2571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42231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9</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4895EF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auto"/>
                <w:spacing w:val="8"/>
                <w:sz w:val="18"/>
                <w:szCs w:val="18"/>
              </w:rPr>
              <w:t>评标</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2FBEE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评标要素：</w:t>
            </w:r>
            <w:r>
              <w:rPr>
                <w:rFonts w:hint="eastAsia" w:ascii="宋体" w:hAnsi="宋体" w:cs="宋体"/>
                <w:i w:val="0"/>
                <w:caps w:val="0"/>
                <w:color w:val="333333"/>
                <w:spacing w:val="8"/>
                <w:sz w:val="18"/>
                <w:szCs w:val="18"/>
                <w:lang w:eastAsia="zh-CN"/>
              </w:rPr>
              <w:t>资质、</w:t>
            </w:r>
            <w:r>
              <w:rPr>
                <w:rFonts w:hint="eastAsia" w:ascii="宋体" w:hAnsi="宋体" w:eastAsia="宋体" w:cs="宋体"/>
                <w:i w:val="0"/>
                <w:caps w:val="0"/>
                <w:color w:val="333333"/>
                <w:spacing w:val="8"/>
                <w:sz w:val="18"/>
                <w:szCs w:val="18"/>
              </w:rPr>
              <w:t>质量、</w:t>
            </w:r>
            <w:r>
              <w:rPr>
                <w:rFonts w:hint="eastAsia" w:ascii="宋体" w:hAnsi="宋体" w:cs="宋体"/>
                <w:i w:val="0"/>
                <w:caps w:val="0"/>
                <w:color w:val="333333"/>
                <w:spacing w:val="8"/>
                <w:sz w:val="18"/>
                <w:szCs w:val="18"/>
                <w:lang w:eastAsia="zh-CN"/>
              </w:rPr>
              <w:t>业绩、</w:t>
            </w:r>
            <w:r>
              <w:rPr>
                <w:rFonts w:hint="eastAsia" w:ascii="宋体" w:hAnsi="宋体" w:eastAsia="宋体" w:cs="宋体"/>
                <w:i w:val="0"/>
                <w:caps w:val="0"/>
                <w:color w:val="333333"/>
                <w:spacing w:val="8"/>
                <w:sz w:val="18"/>
                <w:szCs w:val="18"/>
              </w:rPr>
              <w:t>服务</w:t>
            </w:r>
            <w:r>
              <w:rPr>
                <w:rFonts w:hint="eastAsia" w:ascii="宋体" w:hAnsi="宋体" w:eastAsia="宋体" w:cs="宋体"/>
                <w:i w:val="0"/>
                <w:caps w:val="0"/>
                <w:color w:val="333333"/>
                <w:spacing w:val="8"/>
                <w:sz w:val="18"/>
                <w:szCs w:val="18"/>
                <w:lang w:eastAsia="zh-CN"/>
              </w:rPr>
              <w:t>等综合评分</w:t>
            </w:r>
            <w:r>
              <w:rPr>
                <w:rFonts w:hint="eastAsia" w:ascii="宋体" w:hAnsi="宋体" w:eastAsia="宋体" w:cs="宋体"/>
                <w:i w:val="0"/>
                <w:caps w:val="0"/>
                <w:color w:val="333333"/>
                <w:spacing w:val="8"/>
                <w:sz w:val="18"/>
                <w:szCs w:val="18"/>
              </w:rPr>
              <w:t>；</w:t>
            </w:r>
          </w:p>
        </w:tc>
      </w:tr>
      <w:tr w14:paraId="1075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A7F2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10</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0AC77F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合同签订时间与地点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03BB41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1</w:t>
            </w:r>
            <w:r>
              <w:rPr>
                <w:rFonts w:hint="eastAsia" w:ascii="宋体" w:hAnsi="宋体" w:cs="宋体"/>
                <w:i w:val="0"/>
                <w:caps w:val="0"/>
                <w:color w:val="333333"/>
                <w:spacing w:val="8"/>
                <w:sz w:val="18"/>
                <w:szCs w:val="18"/>
                <w:lang w:val="en-US" w:eastAsia="zh-CN"/>
              </w:rPr>
              <w:t>、时间：</w:t>
            </w:r>
            <w:r>
              <w:rPr>
                <w:rFonts w:hint="eastAsia" w:ascii="宋体" w:hAnsi="宋体" w:eastAsia="宋体" w:cs="宋体"/>
                <w:i w:val="0"/>
                <w:caps w:val="0"/>
                <w:color w:val="333333"/>
                <w:spacing w:val="8"/>
                <w:sz w:val="18"/>
                <w:szCs w:val="18"/>
                <w:lang w:val="en-US" w:eastAsia="zh-CN"/>
              </w:rPr>
              <w:t>合同签订之日起</w:t>
            </w:r>
            <w:r>
              <w:rPr>
                <w:rFonts w:hint="default" w:ascii="宋体" w:hAnsi="宋体" w:cs="宋体"/>
                <w:i w:val="0"/>
                <w:caps w:val="0"/>
                <w:color w:val="333333"/>
                <w:spacing w:val="8"/>
                <w:sz w:val="18"/>
                <w:szCs w:val="18"/>
                <w:lang w:val="en-US" w:eastAsia="zh-CN"/>
              </w:rPr>
              <w:t>2</w:t>
            </w:r>
            <w:r>
              <w:rPr>
                <w:rFonts w:hint="eastAsia" w:ascii="宋体" w:hAnsi="宋体" w:cs="宋体"/>
                <w:i w:val="0"/>
                <w:caps w:val="0"/>
                <w:color w:val="333333"/>
                <w:spacing w:val="8"/>
                <w:sz w:val="18"/>
                <w:szCs w:val="18"/>
                <w:lang w:val="en-US" w:eastAsia="zh-CN"/>
              </w:rPr>
              <w:t>年</w:t>
            </w:r>
            <w:r>
              <w:rPr>
                <w:rFonts w:hint="eastAsia" w:ascii="宋体" w:hAnsi="宋体" w:eastAsia="宋体" w:cs="宋体"/>
                <w:i w:val="0"/>
                <w:caps w:val="0"/>
                <w:color w:val="333333"/>
                <w:spacing w:val="8"/>
                <w:sz w:val="18"/>
                <w:szCs w:val="18"/>
                <w:lang w:val="en-US" w:eastAsia="zh-CN"/>
              </w:rPr>
              <w:t>；</w:t>
            </w:r>
          </w:p>
          <w:p w14:paraId="387651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val="en-US" w:eastAsia="zh-CN"/>
              </w:rPr>
            </w:pPr>
            <w:r>
              <w:rPr>
                <w:rFonts w:hint="default" w:ascii="宋体" w:hAnsi="宋体" w:eastAsia="宋体" w:cs="宋体"/>
                <w:i w:val="0"/>
                <w:caps w:val="0"/>
                <w:color w:val="333333"/>
                <w:spacing w:val="8"/>
                <w:sz w:val="18"/>
                <w:szCs w:val="18"/>
                <w:lang w:val="en-US"/>
              </w:rPr>
              <w:t>2</w:t>
            </w:r>
            <w:r>
              <w:rPr>
                <w:rFonts w:hint="eastAsia" w:ascii="宋体" w:hAnsi="宋体" w:eastAsia="宋体" w:cs="宋体"/>
                <w:i w:val="0"/>
                <w:caps w:val="0"/>
                <w:color w:val="333333"/>
                <w:spacing w:val="8"/>
                <w:sz w:val="18"/>
                <w:szCs w:val="18"/>
                <w:lang w:val="en-US" w:eastAsia="zh-CN"/>
              </w:rPr>
              <w:t>、</w:t>
            </w:r>
            <w:r>
              <w:rPr>
                <w:rFonts w:hint="eastAsia" w:ascii="宋体" w:hAnsi="宋体" w:eastAsia="宋体" w:cs="宋体"/>
                <w:i w:val="0"/>
                <w:caps w:val="0"/>
                <w:color w:val="333333"/>
                <w:spacing w:val="8"/>
                <w:sz w:val="18"/>
                <w:szCs w:val="18"/>
              </w:rPr>
              <w:t>地点：</w:t>
            </w:r>
            <w:r>
              <w:rPr>
                <w:rFonts w:hint="eastAsia" w:ascii="宋体" w:hAnsi="宋体" w:eastAsia="宋体" w:cs="宋体"/>
                <w:i w:val="0"/>
                <w:caps w:val="0"/>
                <w:color w:val="333333"/>
                <w:spacing w:val="8"/>
                <w:sz w:val="18"/>
                <w:szCs w:val="18"/>
                <w:lang w:val="en-US" w:eastAsia="zh-CN"/>
              </w:rPr>
              <w:t>成都市青白江区中医医院行政楼。</w:t>
            </w:r>
          </w:p>
        </w:tc>
      </w:tr>
      <w:tr w14:paraId="0C34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F393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11</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122897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交货地点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2675A0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指定的地点</w:t>
            </w:r>
          </w:p>
        </w:tc>
      </w:tr>
      <w:tr w14:paraId="17E8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DCDFD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707155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特别说明</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407EBE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人代表带个人身份证</w:t>
            </w:r>
            <w:r>
              <w:rPr>
                <w:rFonts w:hint="eastAsia" w:ascii="宋体" w:hAnsi="宋体" w:cs="宋体"/>
                <w:i w:val="0"/>
                <w:caps w:val="0"/>
                <w:color w:val="333333"/>
                <w:spacing w:val="8"/>
                <w:sz w:val="18"/>
                <w:szCs w:val="18"/>
                <w:lang w:eastAsia="zh-CN"/>
              </w:rPr>
              <w:t>；</w:t>
            </w:r>
          </w:p>
          <w:p w14:paraId="0769ED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2</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文件应严格按照</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文件要求制作提交，确保完整，否则视为废标处理</w:t>
            </w:r>
            <w:r>
              <w:rPr>
                <w:rFonts w:hint="eastAsia" w:ascii="宋体" w:hAnsi="宋体" w:cs="宋体"/>
                <w:i w:val="0"/>
                <w:caps w:val="0"/>
                <w:color w:val="333333"/>
                <w:spacing w:val="8"/>
                <w:sz w:val="18"/>
                <w:szCs w:val="18"/>
                <w:lang w:eastAsia="zh-CN"/>
              </w:rPr>
              <w:t>；</w:t>
            </w:r>
          </w:p>
          <w:p w14:paraId="29B50F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lang w:val="en-US" w:eastAsia="zh-CN"/>
              </w:rPr>
              <w:t>3</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人所提交的各项资质证明文件不论中</w:t>
            </w:r>
            <w:r>
              <w:rPr>
                <w:rFonts w:hint="eastAsia" w:ascii="宋体" w:hAnsi="宋体" w:cs="宋体"/>
                <w:i w:val="0"/>
                <w:caps w:val="0"/>
                <w:color w:val="333333"/>
                <w:spacing w:val="8"/>
                <w:sz w:val="18"/>
                <w:szCs w:val="18"/>
                <w:lang w:eastAsia="zh-CN"/>
              </w:rPr>
              <w:t>选</w:t>
            </w:r>
            <w:r>
              <w:rPr>
                <w:rFonts w:hint="eastAsia" w:ascii="宋体" w:hAnsi="宋体" w:eastAsia="宋体" w:cs="宋体"/>
                <w:i w:val="0"/>
                <w:caps w:val="0"/>
                <w:color w:val="333333"/>
                <w:spacing w:val="8"/>
                <w:sz w:val="18"/>
                <w:szCs w:val="18"/>
              </w:rPr>
              <w:t>与否，</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rPr>
              <w:t>人将留档保存，不再退还</w:t>
            </w:r>
            <w:r>
              <w:rPr>
                <w:rFonts w:hint="eastAsia" w:ascii="宋体" w:hAnsi="宋体" w:cs="宋体"/>
                <w:i w:val="0"/>
                <w:caps w:val="0"/>
                <w:color w:val="333333"/>
                <w:spacing w:val="8"/>
                <w:sz w:val="18"/>
                <w:szCs w:val="18"/>
                <w:lang w:eastAsia="zh-CN"/>
              </w:rPr>
              <w:t>；</w:t>
            </w:r>
          </w:p>
          <w:p w14:paraId="75CA9D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、最终解释权归</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eastAsia="zh-CN"/>
              </w:rPr>
              <w:t>单位</w:t>
            </w:r>
            <w:r>
              <w:rPr>
                <w:rFonts w:hint="eastAsia" w:ascii="宋体" w:hAnsi="宋体" w:eastAsia="宋体" w:cs="宋体"/>
                <w:i w:val="0"/>
                <w:caps w:val="0"/>
                <w:color w:val="333333"/>
                <w:spacing w:val="8"/>
                <w:sz w:val="18"/>
                <w:szCs w:val="18"/>
              </w:rPr>
              <w:t>。</w:t>
            </w:r>
          </w:p>
        </w:tc>
      </w:tr>
    </w:tbl>
    <w:p w14:paraId="0ABFDF40">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both"/>
        <w:textAlignment w:val="auto"/>
        <w:outlineLvl w:val="9"/>
        <w:rPr>
          <w:rFonts w:hint="eastAsia" w:ascii="方正小标宋简体" w:hAnsi="方正小标宋简体" w:eastAsia="方正小标宋简体" w:cs="方正小标宋简体"/>
          <w:sz w:val="36"/>
          <w:szCs w:val="36"/>
          <w:lang w:val="en-US" w:eastAsia="zh-CN"/>
        </w:rPr>
      </w:pPr>
    </w:p>
    <w:p w14:paraId="4F5E4DD9">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223EEB6B">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51AF1CDF">
      <w:pPr>
        <w:keepNext w:val="0"/>
        <w:keepLines w:val="0"/>
        <w:pageBreakBefore w:val="0"/>
        <w:kinsoku/>
        <w:wordWrap/>
        <w:overflowPunct/>
        <w:topLinePunct w:val="0"/>
        <w:autoSpaceDE/>
        <w:autoSpaceDN/>
        <w:bidi w:val="0"/>
        <w:adjustRightInd/>
        <w:snapToGrid/>
        <w:spacing w:line="400" w:lineRule="exact"/>
        <w:jc w:val="center"/>
        <w:rPr>
          <w:rFonts w:hint="default"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val="0"/>
          <w:sz w:val="40"/>
          <w:szCs w:val="40"/>
          <w:lang w:val="en-US" w:eastAsia="zh-CN"/>
        </w:rPr>
        <w:t>★</w:t>
      </w:r>
      <w:r>
        <w:rPr>
          <w:rFonts w:hint="eastAsia" w:ascii="方正黑体简体" w:hAnsi="方正黑体简体" w:eastAsia="方正黑体简体" w:cs="方正黑体简体"/>
          <w:b w:val="0"/>
          <w:bCs w:val="0"/>
          <w:sz w:val="32"/>
          <w:szCs w:val="32"/>
          <w:lang w:eastAsia="zh-CN"/>
        </w:rPr>
        <w:t>二、</w:t>
      </w:r>
      <w:r>
        <w:rPr>
          <w:rFonts w:hint="eastAsia" w:ascii="方正黑体简体" w:hAnsi="方正黑体简体" w:eastAsia="方正黑体简体" w:cs="方正黑体简体"/>
          <w:b w:val="0"/>
          <w:bCs w:val="0"/>
          <w:sz w:val="32"/>
          <w:szCs w:val="32"/>
          <w:lang w:val="en-US" w:eastAsia="zh-CN"/>
        </w:rPr>
        <w:t>招标代理机构服务要求</w:t>
      </w:r>
    </w:p>
    <w:p w14:paraId="052661CD">
      <w:pPr>
        <w:keepNext w:val="0"/>
        <w:keepLines w:val="0"/>
        <w:pageBreakBefore w:val="0"/>
        <w:kinsoku/>
        <w:wordWrap/>
        <w:overflowPunct/>
        <w:topLinePunct w:val="0"/>
        <w:autoSpaceDE/>
        <w:autoSpaceDN/>
        <w:bidi w:val="0"/>
        <w:adjustRightInd/>
        <w:snapToGrid/>
        <w:spacing w:line="400" w:lineRule="exact"/>
        <w:jc w:val="both"/>
        <w:rPr>
          <w:rFonts w:hint="eastAsia" w:ascii="方正黑体简体" w:hAnsi="方正黑体简体" w:eastAsia="方正黑体简体" w:cs="方正黑体简体"/>
          <w:b w:val="0"/>
          <w:bCs w:val="0"/>
          <w:sz w:val="32"/>
          <w:szCs w:val="32"/>
          <w:lang w:eastAsia="zh-CN"/>
        </w:rPr>
      </w:pPr>
    </w:p>
    <w:p w14:paraId="083DCCA8">
      <w:pPr>
        <w:widowControl/>
        <w:shd w:val="clear" w:color="auto" w:fill="FFFFFF"/>
        <w:spacing w:line="560" w:lineRule="atLeast"/>
        <w:ind w:firstLine="482" w:firstLineChars="200"/>
        <w:jc w:val="left"/>
        <w:textAlignment w:val="baseline"/>
        <w:rPr>
          <w:rFonts w:hint="eastAsia" w:ascii="仿宋" w:hAnsi="仿宋" w:eastAsia="仿宋" w:cs="仿宋"/>
          <w:b/>
          <w:bCs w:val="0"/>
          <w:kern w:val="44"/>
          <w:sz w:val="24"/>
          <w:szCs w:val="48"/>
          <w:lang w:val="en-US" w:eastAsia="zh-CN" w:bidi="ar"/>
        </w:rPr>
      </w:pPr>
      <w:r>
        <w:rPr>
          <w:rFonts w:hint="eastAsia" w:ascii="仿宋" w:hAnsi="仿宋" w:eastAsia="仿宋" w:cs="仿宋"/>
          <w:b/>
          <w:bCs w:val="0"/>
          <w:kern w:val="44"/>
          <w:sz w:val="24"/>
          <w:szCs w:val="48"/>
          <w:lang w:val="en-US" w:eastAsia="zh-CN" w:bidi="ar"/>
        </w:rPr>
        <w:t>（一）招标代理机构准入条件：</w:t>
      </w:r>
    </w:p>
    <w:p w14:paraId="05FEE9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lang w:val="en-US" w:eastAsia="zh-CN" w:bidi="ar-SA"/>
        </w:rPr>
        <w:t>满足《中华人民共和国政府采购法》第二十二条、《中华人民共和国政府采购法实施条例》第十七条及《政府采购代理机构管理暂行办法》第十一条的规定；</w:t>
      </w:r>
    </w:p>
    <w:p w14:paraId="16EFA0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2.遵守国家法律、法规及执业规范，具备健全的内控监督等管理制度，具有良好的商业信誉；</w:t>
      </w:r>
    </w:p>
    <w:p w14:paraId="40EC6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bidi="ar-SA"/>
        </w:rPr>
        <w:t>.</w:t>
      </w:r>
      <w:r>
        <w:rPr>
          <w:rFonts w:hint="default" w:ascii="仿宋" w:hAnsi="仿宋" w:eastAsia="仿宋" w:cs="仿宋"/>
          <w:color w:val="auto"/>
          <w:kern w:val="2"/>
          <w:sz w:val="24"/>
          <w:szCs w:val="24"/>
          <w:lang w:val="en-US" w:eastAsia="zh-CN" w:bidi="ar-SA"/>
        </w:rPr>
        <w:t>拥有不少于5名熟悉政府采购法律法规、具备编制采购文件和组织采购活动等相应能力的专职从业人员。专职从业人员，是指与代理机构签订劳动合同，由代理机构依法缴纳社会保险费的专职人员，不包括财务、行政等非业务人员，不包括退休、外聘、兼职人员；</w:t>
      </w:r>
    </w:p>
    <w:p w14:paraId="6C0310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4.具有独立办公场所和代理政府采购业务所必需的办公条件；</w:t>
      </w:r>
    </w:p>
    <w:p w14:paraId="3887C2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5.组织评审工作的场所，应当具备必要的设备设施，包括录音录像设备置顶、对角无死角设置等固定监控设备设施。并具备符合监管部门要求的开展全流程电子化采购的基础条件；</w:t>
      </w:r>
    </w:p>
    <w:p w14:paraId="54E74E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80" w:lineRule="exact"/>
        <w:ind w:left="0" w:right="0" w:firstLine="480" w:firstLineChars="200"/>
        <w:jc w:val="left"/>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6.具有承担</w:t>
      </w:r>
      <w:r>
        <w:rPr>
          <w:rFonts w:hint="eastAsia" w:ascii="仿宋" w:hAnsi="仿宋" w:eastAsia="仿宋" w:cs="仿宋"/>
          <w:color w:val="auto"/>
          <w:kern w:val="2"/>
          <w:sz w:val="24"/>
          <w:szCs w:val="24"/>
          <w:lang w:val="en-US" w:eastAsia="zh-CN" w:bidi="ar-SA"/>
        </w:rPr>
        <w:t>过医院项目</w:t>
      </w:r>
      <w:r>
        <w:rPr>
          <w:rFonts w:hint="default" w:ascii="仿宋" w:hAnsi="仿宋" w:eastAsia="仿宋" w:cs="仿宋"/>
          <w:color w:val="auto"/>
          <w:kern w:val="2"/>
          <w:sz w:val="24"/>
          <w:szCs w:val="24"/>
          <w:lang w:val="en-US" w:eastAsia="zh-CN" w:bidi="ar-SA"/>
        </w:rPr>
        <w:t>招标代理业绩者可优先选择</w:t>
      </w:r>
      <w:r>
        <w:rPr>
          <w:rFonts w:hint="eastAsia" w:ascii="仿宋" w:hAnsi="仿宋" w:eastAsia="仿宋" w:cs="仿宋"/>
          <w:color w:val="auto"/>
          <w:kern w:val="2"/>
          <w:sz w:val="24"/>
          <w:szCs w:val="24"/>
          <w:lang w:val="en-US" w:eastAsia="zh-CN" w:bidi="ar-SA"/>
        </w:rPr>
        <w:t>（提供相应的证明材料）</w:t>
      </w:r>
      <w:r>
        <w:rPr>
          <w:rFonts w:hint="default" w:ascii="仿宋" w:hAnsi="仿宋" w:eastAsia="仿宋" w:cs="仿宋"/>
          <w:color w:val="auto"/>
          <w:kern w:val="2"/>
          <w:sz w:val="24"/>
          <w:szCs w:val="24"/>
          <w:lang w:val="en-US" w:eastAsia="zh-CN" w:bidi="ar-SA"/>
        </w:rPr>
        <w:t>；</w:t>
      </w:r>
    </w:p>
    <w:p w14:paraId="7C40D99F">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7.符合法律、行政法规规定的其他条件。</w:t>
      </w:r>
    </w:p>
    <w:p w14:paraId="1049002D">
      <w:pPr>
        <w:widowControl/>
        <w:shd w:val="clear" w:color="auto" w:fill="FFFFFF"/>
        <w:spacing w:line="560" w:lineRule="atLeast"/>
        <w:ind w:firstLine="482" w:firstLineChars="200"/>
        <w:jc w:val="left"/>
        <w:textAlignment w:val="baseline"/>
        <w:rPr>
          <w:rFonts w:hint="default" w:ascii="仿宋" w:hAnsi="仿宋" w:eastAsia="仿宋" w:cs="仿宋"/>
          <w:b/>
          <w:bCs w:val="0"/>
          <w:kern w:val="44"/>
          <w:sz w:val="24"/>
          <w:szCs w:val="48"/>
          <w:lang w:val="en-US" w:eastAsia="zh-CN" w:bidi="ar"/>
        </w:rPr>
      </w:pPr>
      <w:r>
        <w:rPr>
          <w:rFonts w:hint="eastAsia" w:ascii="仿宋" w:hAnsi="仿宋" w:eastAsia="仿宋" w:cs="仿宋"/>
          <w:b/>
          <w:bCs w:val="0"/>
          <w:kern w:val="44"/>
          <w:sz w:val="24"/>
          <w:szCs w:val="48"/>
          <w:lang w:val="en-US" w:eastAsia="zh-CN" w:bidi="ar"/>
        </w:rPr>
        <w:t>（二）招标代理机构服务要求：</w:t>
      </w:r>
    </w:p>
    <w:p w14:paraId="0AAEC441">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w:t>
      </w:r>
      <w:r>
        <w:rPr>
          <w:rFonts w:hint="eastAsia" w:ascii="仿宋" w:hAnsi="仿宋" w:eastAsia="仿宋" w:cs="仿宋"/>
          <w:color w:val="auto"/>
          <w:kern w:val="2"/>
          <w:sz w:val="24"/>
          <w:szCs w:val="24"/>
          <w:lang w:val="en-US" w:eastAsia="zh-CN" w:bidi="ar-SA"/>
        </w:rPr>
        <w:t>提供项目招标采购前期咨询服务、需求审查及需求论证等工作，依法编制采购公告、采购文件；</w:t>
      </w:r>
    </w:p>
    <w:p w14:paraId="279FD69C">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2.</w:t>
      </w:r>
      <w:r>
        <w:rPr>
          <w:rFonts w:hint="eastAsia" w:ascii="仿宋" w:hAnsi="仿宋" w:eastAsia="仿宋" w:cs="仿宋"/>
          <w:color w:val="auto"/>
          <w:kern w:val="2"/>
          <w:sz w:val="24"/>
          <w:szCs w:val="24"/>
          <w:lang w:val="en-US" w:eastAsia="zh-CN" w:bidi="ar-SA"/>
        </w:rPr>
        <w:t>依法发布采购公告和发售采购文件，组织接收投标人报名及接收申请资料，审查投标人报名资格；采购文件应符合相关制度及规定，满足采购人的工作需求和采购项目的特点，明确具体的评审方法、评审因素和评审标准，且不具有违规条款。采购人有权审查代理机构为代理项目编制的各种文件并提出修正意见，且有权要求代理机构提交招标代理业务工作报告；</w:t>
      </w:r>
    </w:p>
    <w:p w14:paraId="402660E1">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bidi="ar-SA"/>
        </w:rPr>
        <w:t>依法组织投标人踏勘现场、组织答疑会及整理答疑纪要文件，并及时发布答疑澄清公告；</w:t>
      </w:r>
    </w:p>
    <w:p w14:paraId="1D45E4C4">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lang w:val="en-US" w:eastAsia="zh-CN" w:bidi="ar-SA"/>
        </w:rPr>
        <w:t>负责代理项目相关信息公告、公示；</w:t>
      </w:r>
    </w:p>
    <w:p w14:paraId="7013FE52">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lang w:val="en-US" w:eastAsia="zh-CN" w:bidi="ar-SA"/>
        </w:rPr>
        <w:t>依法组建评审委员会，组织采购活动；</w:t>
      </w:r>
    </w:p>
    <w:p w14:paraId="53C0B21A">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6.</w:t>
      </w:r>
      <w:r>
        <w:rPr>
          <w:rFonts w:hint="eastAsia" w:ascii="仿宋" w:hAnsi="仿宋" w:eastAsia="仿宋" w:cs="仿宋"/>
          <w:color w:val="auto"/>
          <w:kern w:val="2"/>
          <w:sz w:val="24"/>
          <w:szCs w:val="24"/>
          <w:lang w:val="en-US" w:eastAsia="zh-CN" w:bidi="ar-SA"/>
        </w:rPr>
        <w:t>提供项目采购过程中的咨询服务工作；</w:t>
      </w:r>
    </w:p>
    <w:p w14:paraId="2B6B89D7">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7.</w:t>
      </w:r>
      <w:r>
        <w:rPr>
          <w:rFonts w:hint="eastAsia" w:ascii="仿宋" w:hAnsi="仿宋" w:eastAsia="仿宋" w:cs="仿宋"/>
          <w:color w:val="auto"/>
          <w:kern w:val="2"/>
          <w:sz w:val="24"/>
          <w:szCs w:val="24"/>
          <w:lang w:val="en-US" w:eastAsia="zh-CN" w:bidi="ar-SA"/>
        </w:rPr>
        <w:t>编制招投标情况的书面报告；</w:t>
      </w:r>
    </w:p>
    <w:p w14:paraId="0A0245F8">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8.</w:t>
      </w:r>
      <w:r>
        <w:rPr>
          <w:rFonts w:hint="eastAsia" w:ascii="仿宋" w:hAnsi="仿宋" w:eastAsia="仿宋" w:cs="仿宋"/>
          <w:color w:val="auto"/>
          <w:kern w:val="2"/>
          <w:sz w:val="24"/>
          <w:szCs w:val="24"/>
          <w:lang w:val="en-US" w:eastAsia="zh-CN" w:bidi="ar-SA"/>
        </w:rPr>
        <w:t>落实开评标场地，依法组织招标采购活动并出具评审结果报告；</w:t>
      </w:r>
    </w:p>
    <w:p w14:paraId="7BE4B147">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9.</w:t>
      </w:r>
      <w:r>
        <w:rPr>
          <w:rFonts w:hint="eastAsia" w:ascii="仿宋" w:hAnsi="仿宋" w:eastAsia="仿宋" w:cs="仿宋"/>
          <w:color w:val="auto"/>
          <w:kern w:val="2"/>
          <w:sz w:val="24"/>
          <w:szCs w:val="24"/>
          <w:lang w:val="en-US" w:eastAsia="zh-CN" w:bidi="ar-SA"/>
        </w:rPr>
        <w:t>协助处理中标（成交）公示期质疑（异议）和投诉，组织专家对质疑（异议）内容的复审并出具复审报告。发出中标（成交）通知书，通知中标（成交）人与采购人签订合同；</w:t>
      </w:r>
    </w:p>
    <w:p w14:paraId="03E88FDD">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10.</w:t>
      </w:r>
      <w:r>
        <w:rPr>
          <w:rFonts w:hint="eastAsia" w:ascii="仿宋" w:hAnsi="仿宋" w:eastAsia="仿宋" w:cs="仿宋"/>
          <w:color w:val="auto"/>
          <w:kern w:val="2"/>
          <w:sz w:val="24"/>
          <w:szCs w:val="24"/>
          <w:lang w:val="en-US" w:eastAsia="zh-CN" w:bidi="ar-SA"/>
        </w:rPr>
        <w:t>负责向采购人提供本次采购活动的完整档案资料，依法办理招标采购活动备案事宜；</w:t>
      </w:r>
    </w:p>
    <w:p w14:paraId="29EB7F43">
      <w:pPr>
        <w:pStyle w:val="2"/>
        <w:keepNext w:val="0"/>
        <w:keepLines w:val="0"/>
        <w:pageBreakBefore w:val="0"/>
        <w:widowControl/>
        <w:kinsoku/>
        <w:wordWrap/>
        <w:overflowPunct/>
        <w:topLinePunct w:val="0"/>
        <w:autoSpaceDE/>
        <w:autoSpaceDN/>
        <w:bidi w:val="0"/>
        <w:spacing w:after="0" w:line="580" w:lineRule="exact"/>
        <w:ind w:firstLine="480" w:firstLineChars="200"/>
        <w:outlineLvl w:val="9"/>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11.</w:t>
      </w:r>
      <w:r>
        <w:rPr>
          <w:rFonts w:hint="eastAsia" w:ascii="仿宋" w:hAnsi="仿宋" w:eastAsia="仿宋" w:cs="仿宋"/>
          <w:color w:val="auto"/>
          <w:kern w:val="2"/>
          <w:sz w:val="24"/>
          <w:szCs w:val="24"/>
          <w:lang w:val="en-US" w:eastAsia="zh-CN" w:bidi="ar-SA"/>
        </w:rPr>
        <w:t>整理招标采购文件、评标文件和有关资料并于项目公示期结束后交采购人存档；</w:t>
      </w:r>
    </w:p>
    <w:p w14:paraId="48E333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12.</w:t>
      </w:r>
      <w:r>
        <w:rPr>
          <w:rFonts w:hint="eastAsia" w:ascii="仿宋" w:hAnsi="仿宋" w:eastAsia="仿宋" w:cs="仿宋"/>
          <w:color w:val="auto"/>
          <w:kern w:val="2"/>
          <w:sz w:val="24"/>
          <w:szCs w:val="24"/>
          <w:lang w:val="en-US" w:eastAsia="zh-CN" w:bidi="ar-SA"/>
        </w:rPr>
        <w:t>代理机构不得收受关联单位的财物或其他好处，合同履行期内和合同终止后，未经采购人同意，代理机构不得泄漏与项目相关的任何采购资料和情况；</w:t>
      </w:r>
    </w:p>
    <w:p w14:paraId="7705AE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13</w:t>
      </w:r>
      <w:r>
        <w:rPr>
          <w:rFonts w:hint="eastAsia" w:ascii="仿宋" w:hAnsi="仿宋" w:eastAsia="仿宋" w:cs="仿宋"/>
          <w:color w:val="auto"/>
          <w:kern w:val="2"/>
          <w:sz w:val="24"/>
          <w:szCs w:val="24"/>
          <w:lang w:val="en-US" w:eastAsia="zh-CN" w:bidi="ar-SA"/>
        </w:rPr>
        <w:t>.政府采购专家费用按照国家相关规定执行，非政府采购专家费用由招标代理机构支付。</w:t>
      </w:r>
    </w:p>
    <w:p w14:paraId="384895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14.</w:t>
      </w:r>
      <w:r>
        <w:rPr>
          <w:rFonts w:hint="eastAsia" w:ascii="仿宋" w:hAnsi="仿宋" w:eastAsia="仿宋" w:cs="仿宋"/>
          <w:color w:val="auto"/>
          <w:kern w:val="2"/>
          <w:sz w:val="24"/>
          <w:szCs w:val="24"/>
          <w:lang w:val="en-US" w:eastAsia="zh-CN" w:bidi="ar-SA"/>
        </w:rPr>
        <w:t>处理与招标采购有关的其他事宜。</w:t>
      </w:r>
    </w:p>
    <w:p w14:paraId="5F2C8958">
      <w:pPr>
        <w:pStyle w:val="2"/>
        <w:rPr>
          <w:rFonts w:hint="default"/>
          <w:lang w:val="en-US" w:eastAsia="zh-CN"/>
        </w:rPr>
      </w:pPr>
      <w:r>
        <w:rPr>
          <w:rFonts w:hint="eastAsia" w:ascii="仿宋" w:hAnsi="仿宋" w:eastAsia="仿宋" w:cs="仿宋"/>
          <w:color w:val="auto"/>
          <w:kern w:val="2"/>
          <w:sz w:val="24"/>
          <w:szCs w:val="24"/>
          <w:lang w:val="en-US" w:eastAsia="zh-CN" w:bidi="ar-SA"/>
        </w:rPr>
        <w:t>备注：以上要求不得收取采购人任何费用。</w:t>
      </w:r>
    </w:p>
    <w:p w14:paraId="33F3F286">
      <w:pPr>
        <w:widowControl/>
        <w:numPr>
          <w:ilvl w:val="0"/>
          <w:numId w:val="2"/>
        </w:numPr>
        <w:shd w:val="clear" w:color="auto" w:fill="FFFFFF"/>
        <w:spacing w:line="560" w:lineRule="atLeast"/>
        <w:ind w:firstLine="482" w:firstLineChars="200"/>
        <w:jc w:val="left"/>
        <w:textAlignment w:val="baseline"/>
        <w:rPr>
          <w:rFonts w:hint="eastAsia" w:ascii="仿宋" w:hAnsi="仿宋" w:eastAsia="仿宋" w:cs="仿宋"/>
          <w:b/>
          <w:bCs w:val="0"/>
          <w:kern w:val="44"/>
          <w:sz w:val="24"/>
          <w:szCs w:val="48"/>
          <w:lang w:val="en-US" w:eastAsia="zh-CN" w:bidi="ar"/>
        </w:rPr>
      </w:pPr>
      <w:r>
        <w:rPr>
          <w:rFonts w:hint="eastAsia" w:ascii="仿宋" w:hAnsi="仿宋" w:eastAsia="仿宋" w:cs="仿宋"/>
          <w:b/>
          <w:bCs w:val="0"/>
          <w:kern w:val="44"/>
          <w:sz w:val="24"/>
          <w:szCs w:val="48"/>
          <w:lang w:val="en-US" w:eastAsia="zh-CN" w:bidi="ar"/>
        </w:rPr>
        <w:t>招标代理费：</w:t>
      </w:r>
    </w:p>
    <w:p w14:paraId="38EC337E">
      <w:pPr>
        <w:widowControl/>
        <w:shd w:val="clear" w:color="auto" w:fill="FFFFFF"/>
        <w:spacing w:line="560" w:lineRule="atLeast"/>
        <w:ind w:firstLine="480" w:firstLineChars="200"/>
        <w:jc w:val="left"/>
        <w:textAlignment w:val="baseline"/>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以中标（成交）金额为计费基数，参照原国家计委《关于印发招标代理服务收费管理暂行办法的通知》（计价格[2002]1980号）和国家发展改革委办公厅《关于招标代理服务收费有关问题的通知》（发改办价格［2003］857号）文件规定的招标收费费率的金额下浮</w:t>
      </w: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bidi="ar-SA"/>
        </w:rPr>
        <w:t>0%执行。单项采购项目代理服务费用不足</w:t>
      </w: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lang w:val="en-US" w:eastAsia="zh-CN" w:bidi="ar-SA"/>
        </w:rPr>
        <w:t>000元的，按</w:t>
      </w:r>
      <w:r>
        <w:rPr>
          <w:rFonts w:hint="default" w:ascii="仿宋" w:hAnsi="仿宋" w:eastAsia="仿宋" w:cs="仿宋"/>
          <w:color w:val="auto"/>
          <w:kern w:val="2"/>
          <w:sz w:val="24"/>
          <w:szCs w:val="24"/>
          <w:lang w:val="en-US" w:eastAsia="zh-CN" w:bidi="ar-SA"/>
        </w:rPr>
        <w:t>4</w:t>
      </w:r>
      <w:r>
        <w:rPr>
          <w:rFonts w:hint="eastAsia" w:ascii="仿宋" w:hAnsi="仿宋" w:eastAsia="仿宋" w:cs="仿宋"/>
          <w:color w:val="auto"/>
          <w:kern w:val="2"/>
          <w:sz w:val="24"/>
          <w:szCs w:val="24"/>
          <w:lang w:val="en-US" w:eastAsia="zh-CN" w:bidi="ar-SA"/>
        </w:rPr>
        <w:t>000元收取。由中标人（成交供应商）在领取中标（成交）通知书前向招标代理机构支付。</w:t>
      </w:r>
    </w:p>
    <w:p w14:paraId="3DD0E9EF">
      <w:pPr>
        <w:widowControl/>
        <w:shd w:val="clear" w:color="auto" w:fill="FFFFFF"/>
        <w:spacing w:line="560" w:lineRule="atLeast"/>
        <w:ind w:firstLine="482" w:firstLineChars="200"/>
        <w:jc w:val="left"/>
        <w:textAlignment w:val="baseline"/>
        <w:rPr>
          <w:rFonts w:hint="eastAsia"/>
          <w:lang w:val="en-US" w:eastAsia="zh-CN"/>
        </w:rPr>
      </w:pPr>
      <w:r>
        <w:rPr>
          <w:rFonts w:hint="eastAsia" w:ascii="仿宋" w:hAnsi="仿宋" w:eastAsia="仿宋" w:cs="仿宋"/>
          <w:b/>
          <w:bCs w:val="0"/>
          <w:kern w:val="44"/>
          <w:sz w:val="24"/>
          <w:szCs w:val="48"/>
          <w:lang w:val="en-US" w:eastAsia="zh-CN" w:bidi="ar"/>
        </w:rPr>
        <w:t>（四）遴选数量：</w:t>
      </w:r>
      <w:r>
        <w:rPr>
          <w:rFonts w:hint="default" w:ascii="仿宋" w:hAnsi="仿宋" w:eastAsia="仿宋" w:cs="仿宋"/>
          <w:color w:val="auto"/>
          <w:kern w:val="2"/>
          <w:sz w:val="24"/>
          <w:szCs w:val="24"/>
          <w:lang w:val="en-US" w:eastAsia="zh-CN" w:bidi="ar-SA"/>
        </w:rPr>
        <w:t>3</w:t>
      </w:r>
      <w:r>
        <w:rPr>
          <w:rFonts w:hint="eastAsia" w:ascii="仿宋" w:hAnsi="仿宋" w:eastAsia="仿宋" w:cs="仿宋"/>
          <w:color w:val="auto"/>
          <w:kern w:val="2"/>
          <w:sz w:val="24"/>
          <w:szCs w:val="24"/>
          <w:lang w:val="en-US" w:eastAsia="zh-CN" w:bidi="ar-SA"/>
        </w:rPr>
        <w:t>家</w:t>
      </w:r>
    </w:p>
    <w:p w14:paraId="408F033E">
      <w:pPr>
        <w:pStyle w:val="4"/>
        <w:ind w:right="-1"/>
        <w:jc w:val="center"/>
        <w:rPr>
          <w:rFonts w:hint="eastAsia" w:ascii="方正黑体简体" w:hAnsi="方正黑体简体" w:eastAsia="方正黑体简体" w:cs="方正黑体简体"/>
          <w:b w:val="0"/>
          <w:bCs/>
          <w:sz w:val="36"/>
        </w:rPr>
      </w:pPr>
      <w:r>
        <w:rPr>
          <w:rFonts w:hint="eastAsia" w:ascii="方正黑体简体" w:hAnsi="方正黑体简体" w:eastAsia="方正黑体简体" w:cs="方正黑体简体"/>
          <w:b w:val="0"/>
          <w:bCs/>
          <w:sz w:val="36"/>
          <w:lang w:val="en-US" w:eastAsia="zh-CN"/>
        </w:rPr>
        <w:t>三、</w:t>
      </w:r>
      <w:r>
        <w:rPr>
          <w:rFonts w:hint="eastAsia" w:ascii="方正黑体简体" w:hAnsi="方正黑体简体" w:eastAsia="方正黑体简体" w:cs="方正黑体简体"/>
          <w:b w:val="0"/>
          <w:bCs/>
          <w:sz w:val="36"/>
          <w:lang w:eastAsia="zh-CN"/>
        </w:rPr>
        <w:t>比选</w:t>
      </w:r>
      <w:r>
        <w:rPr>
          <w:rFonts w:hint="eastAsia" w:ascii="方正黑体简体" w:hAnsi="方正黑体简体" w:eastAsia="方正黑体简体" w:cs="方正黑体简体"/>
          <w:b w:val="0"/>
          <w:bCs/>
          <w:sz w:val="36"/>
        </w:rPr>
        <w:t>方法</w:t>
      </w:r>
    </w:p>
    <w:p w14:paraId="2039418C">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一</w:t>
      </w:r>
      <w:r>
        <w:rPr>
          <w:rFonts w:hint="eastAsia" w:ascii="仿宋" w:hAnsi="仿宋" w:eastAsia="仿宋" w:cs="仿宋"/>
          <w:bCs w:val="0"/>
        </w:rPr>
        <w:t>、</w:t>
      </w:r>
      <w:r>
        <w:rPr>
          <w:rFonts w:hint="eastAsia" w:ascii="仿宋" w:hAnsi="仿宋" w:eastAsia="仿宋" w:cs="仿宋"/>
          <w:b/>
          <w:bCs w:val="0"/>
          <w:sz w:val="24"/>
        </w:rPr>
        <w:t>总则</w:t>
      </w:r>
    </w:p>
    <w:p w14:paraId="410FBEBF">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1.1本次</w:t>
      </w:r>
      <w:r>
        <w:rPr>
          <w:rFonts w:hint="eastAsia" w:ascii="仿宋" w:hAnsi="仿宋" w:eastAsia="仿宋" w:cs="仿宋"/>
          <w:sz w:val="24"/>
          <w:lang w:eastAsia="zh-CN"/>
        </w:rPr>
        <w:t>比选</w:t>
      </w:r>
      <w:r>
        <w:rPr>
          <w:rFonts w:hint="eastAsia" w:ascii="仿宋" w:hAnsi="仿宋" w:eastAsia="仿宋" w:cs="仿宋"/>
          <w:sz w:val="24"/>
        </w:rPr>
        <w:t>活动遵循公开、公平、公正、科学、择优的原则。</w:t>
      </w:r>
    </w:p>
    <w:p w14:paraId="6B97AA65">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1.2比选人将在比选申请文件递交截止时,交由评审委员会进行评审。在本文件规定的提交截止时间后提交的比选申请文件，</w:t>
      </w:r>
      <w:r>
        <w:rPr>
          <w:rFonts w:hint="eastAsia" w:ascii="仿宋" w:hAnsi="仿宋" w:eastAsia="仿宋" w:cs="仿宋"/>
          <w:sz w:val="24"/>
          <w:lang w:eastAsia="zh-CN"/>
        </w:rPr>
        <w:t>采购</w:t>
      </w:r>
      <w:r>
        <w:rPr>
          <w:rFonts w:hint="eastAsia" w:ascii="仿宋" w:hAnsi="仿宋" w:eastAsia="仿宋" w:cs="仿宋"/>
          <w:sz w:val="24"/>
        </w:rPr>
        <w:t>人将拒绝接收。</w:t>
      </w:r>
    </w:p>
    <w:p w14:paraId="533F5C10">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二</w:t>
      </w:r>
      <w:r>
        <w:rPr>
          <w:rFonts w:hint="eastAsia" w:ascii="仿宋" w:hAnsi="仿宋" w:eastAsia="仿宋" w:cs="仿宋"/>
          <w:bCs w:val="0"/>
        </w:rPr>
        <w:t>、</w:t>
      </w:r>
      <w:r>
        <w:rPr>
          <w:rFonts w:hint="eastAsia" w:ascii="仿宋" w:hAnsi="仿宋" w:eastAsia="仿宋" w:cs="仿宋"/>
          <w:b/>
          <w:bCs w:val="0"/>
          <w:sz w:val="24"/>
        </w:rPr>
        <w:t>评审委员会</w:t>
      </w:r>
    </w:p>
    <w:p w14:paraId="677DC77B">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2.1本项目的评审委员会由</w:t>
      </w:r>
      <w:r>
        <w:rPr>
          <w:rFonts w:hint="eastAsia" w:ascii="仿宋" w:hAnsi="仿宋" w:eastAsia="仿宋" w:cs="仿宋"/>
          <w:sz w:val="24"/>
          <w:lang w:eastAsia="zh-CN"/>
        </w:rPr>
        <w:t>采购</w:t>
      </w:r>
      <w:r>
        <w:rPr>
          <w:rFonts w:hint="eastAsia" w:ascii="仿宋" w:hAnsi="仿宋" w:eastAsia="仿宋" w:cs="仿宋"/>
          <w:sz w:val="24"/>
        </w:rPr>
        <w:t>人按照相关规定组建。</w:t>
      </w:r>
    </w:p>
    <w:p w14:paraId="50D938AF">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2.2评审委员会成员应当客观、公正地履行职责，遵守职业道德，对所提出的评审意见承担个人责任。</w:t>
      </w:r>
    </w:p>
    <w:p w14:paraId="2541E69C">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2.3评审程序：资格审查---初步评审---评分</w:t>
      </w:r>
      <w:r>
        <w:rPr>
          <w:rFonts w:hint="eastAsia" w:ascii="仿宋" w:hAnsi="仿宋" w:eastAsia="仿宋" w:cs="仿宋"/>
          <w:sz w:val="24"/>
          <w:lang w:eastAsia="zh-CN"/>
        </w:rPr>
        <w:t>比选</w:t>
      </w:r>
      <w:r>
        <w:rPr>
          <w:rFonts w:hint="eastAsia" w:ascii="仿宋" w:hAnsi="仿宋" w:eastAsia="仿宋" w:cs="仿宋"/>
          <w:sz w:val="24"/>
        </w:rPr>
        <w:t>——推荐中选候选人。</w:t>
      </w:r>
    </w:p>
    <w:p w14:paraId="28D9A602">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sz w:val="24"/>
        </w:rPr>
      </w:pPr>
      <w:r>
        <w:rPr>
          <w:rFonts w:hint="eastAsia" w:ascii="仿宋" w:hAnsi="仿宋" w:eastAsia="仿宋" w:cs="仿宋"/>
          <w:sz w:val="24"/>
        </w:rPr>
        <w:t>2.4 在评审过程中，凡未通过初步评审程序的比选申请文件，不再进入后续评审程序。</w:t>
      </w:r>
    </w:p>
    <w:p w14:paraId="226DAFF7">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sz w:val="24"/>
        </w:rPr>
      </w:pPr>
      <w:r>
        <w:rPr>
          <w:rFonts w:hint="eastAsia" w:ascii="仿宋" w:hAnsi="仿宋" w:eastAsia="仿宋" w:cs="仿宋"/>
          <w:b/>
          <w:bCs w:val="0"/>
          <w:sz w:val="24"/>
        </w:rPr>
        <w:t>三</w:t>
      </w:r>
      <w:r>
        <w:rPr>
          <w:rFonts w:hint="eastAsia" w:ascii="仿宋" w:hAnsi="仿宋" w:eastAsia="仿宋" w:cs="仿宋"/>
          <w:bCs w:val="0"/>
        </w:rPr>
        <w:t>、</w:t>
      </w:r>
      <w:r>
        <w:rPr>
          <w:rFonts w:hint="eastAsia" w:ascii="仿宋" w:hAnsi="仿宋" w:eastAsia="仿宋" w:cs="仿宋"/>
          <w:b/>
          <w:bCs w:val="0"/>
          <w:sz w:val="24"/>
        </w:rPr>
        <w:t>资格审查</w:t>
      </w:r>
    </w:p>
    <w:p w14:paraId="1B3C0D5E">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b/>
          <w:bCs/>
          <w:sz w:val="24"/>
        </w:rPr>
      </w:pPr>
      <w:r>
        <w:rPr>
          <w:rFonts w:hint="eastAsia" w:ascii="仿宋" w:hAnsi="仿宋" w:eastAsia="仿宋" w:cs="仿宋"/>
          <w:sz w:val="24"/>
        </w:rPr>
        <w:t>3.1评审委员会首先对所有比选申请文件进行资格审查，资格审查实行强制性合格条件标准（见下表），凡有一项不合格则不能通过。资格审查不通过的不再进入下步评审。</w:t>
      </w:r>
    </w:p>
    <w:p w14:paraId="155D5C64">
      <w:pPr>
        <w:keepNext w:val="0"/>
        <w:keepLines w:val="0"/>
        <w:pageBreakBefore w:val="0"/>
        <w:kinsoku/>
        <w:wordWrap/>
        <w:overflowPunct/>
        <w:topLinePunct w:val="0"/>
        <w:autoSpaceDE/>
        <w:autoSpaceDN/>
        <w:bidi w:val="0"/>
        <w:snapToGrid w:val="0"/>
        <w:spacing w:beforeAutospacing="0" w:afterAutospacing="0" w:line="580" w:lineRule="exact"/>
        <w:ind w:right="-1" w:firstLine="487" w:firstLineChars="202"/>
        <w:jc w:val="center"/>
        <w:textAlignment w:val="auto"/>
        <w:rPr>
          <w:rFonts w:ascii="仿宋" w:hAnsi="仿宋" w:eastAsia="仿宋" w:cs="仿宋"/>
          <w:b/>
          <w:bCs/>
          <w:sz w:val="24"/>
        </w:rPr>
      </w:pPr>
      <w:r>
        <w:rPr>
          <w:rFonts w:hint="eastAsia" w:ascii="仿宋" w:hAnsi="仿宋" w:eastAsia="仿宋" w:cs="仿宋"/>
          <w:b/>
          <w:bCs/>
          <w:sz w:val="24"/>
        </w:rPr>
        <w:t>资格审查合格条件</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1603"/>
        <w:gridCol w:w="5386"/>
        <w:gridCol w:w="709"/>
      </w:tblGrid>
      <w:tr w14:paraId="33B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3828C003">
            <w:pPr>
              <w:snapToGrid w:val="0"/>
              <w:spacing w:line="280" w:lineRule="exact"/>
              <w:jc w:val="center"/>
              <w:rPr>
                <w:rFonts w:ascii="宋体" w:hAnsi="宋体"/>
                <w:b/>
                <w:sz w:val="18"/>
                <w:szCs w:val="18"/>
                <w:highlight w:val="none"/>
              </w:rPr>
            </w:pPr>
            <w:r>
              <w:rPr>
                <w:rFonts w:hint="eastAsia" w:ascii="宋体" w:hAnsi="宋体"/>
                <w:b/>
                <w:sz w:val="18"/>
                <w:szCs w:val="18"/>
                <w:highlight w:val="none"/>
              </w:rPr>
              <w:t>序号</w:t>
            </w:r>
          </w:p>
        </w:tc>
        <w:tc>
          <w:tcPr>
            <w:tcW w:w="2552" w:type="dxa"/>
            <w:gridSpan w:val="2"/>
            <w:noWrap w:val="0"/>
            <w:vAlign w:val="center"/>
          </w:tcPr>
          <w:p w14:paraId="28C2B6C2">
            <w:pPr>
              <w:snapToGrid w:val="0"/>
              <w:spacing w:line="280" w:lineRule="exact"/>
              <w:jc w:val="center"/>
              <w:rPr>
                <w:rFonts w:ascii="宋体" w:hAnsi="宋体"/>
                <w:b/>
                <w:sz w:val="18"/>
                <w:szCs w:val="18"/>
                <w:highlight w:val="none"/>
              </w:rPr>
            </w:pPr>
            <w:r>
              <w:rPr>
                <w:rFonts w:hint="eastAsia" w:ascii="宋体" w:hAnsi="宋体"/>
                <w:b/>
                <w:sz w:val="18"/>
                <w:szCs w:val="18"/>
                <w:highlight w:val="none"/>
              </w:rPr>
              <w:t>项     目</w:t>
            </w:r>
          </w:p>
        </w:tc>
        <w:tc>
          <w:tcPr>
            <w:tcW w:w="5386" w:type="dxa"/>
            <w:noWrap w:val="0"/>
            <w:vAlign w:val="center"/>
          </w:tcPr>
          <w:p w14:paraId="10745F89">
            <w:pPr>
              <w:snapToGrid w:val="0"/>
              <w:spacing w:line="280" w:lineRule="exact"/>
              <w:jc w:val="center"/>
              <w:rPr>
                <w:rFonts w:ascii="宋体" w:hAnsi="宋体"/>
                <w:b/>
                <w:sz w:val="18"/>
                <w:szCs w:val="18"/>
                <w:highlight w:val="none"/>
              </w:rPr>
            </w:pPr>
            <w:r>
              <w:rPr>
                <w:rFonts w:hint="eastAsia" w:ascii="宋体" w:hAnsi="宋体"/>
                <w:b/>
                <w:sz w:val="18"/>
                <w:szCs w:val="18"/>
                <w:highlight w:val="none"/>
              </w:rPr>
              <w:t>通过条件</w:t>
            </w:r>
          </w:p>
        </w:tc>
        <w:tc>
          <w:tcPr>
            <w:tcW w:w="709" w:type="dxa"/>
            <w:noWrap w:val="0"/>
            <w:vAlign w:val="center"/>
          </w:tcPr>
          <w:p w14:paraId="7DC5A2E3">
            <w:pPr>
              <w:snapToGrid w:val="0"/>
              <w:spacing w:line="280" w:lineRule="exact"/>
              <w:jc w:val="center"/>
              <w:rPr>
                <w:rFonts w:ascii="宋体" w:hAnsi="宋体"/>
                <w:b/>
                <w:sz w:val="18"/>
                <w:szCs w:val="18"/>
                <w:highlight w:val="none"/>
              </w:rPr>
            </w:pPr>
            <w:r>
              <w:rPr>
                <w:rFonts w:hint="eastAsia" w:ascii="宋体" w:hAnsi="宋体"/>
                <w:b/>
                <w:sz w:val="18"/>
                <w:szCs w:val="18"/>
                <w:highlight w:val="none"/>
              </w:rPr>
              <w:t>结论</w:t>
            </w:r>
          </w:p>
        </w:tc>
      </w:tr>
      <w:tr w14:paraId="2E0E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noWrap w:val="0"/>
            <w:vAlign w:val="center"/>
          </w:tcPr>
          <w:p w14:paraId="3D65AF3A">
            <w:pPr>
              <w:pStyle w:val="22"/>
              <w:numPr>
                <w:ilvl w:val="0"/>
                <w:numId w:val="0"/>
              </w:numPr>
              <w:tabs>
                <w:tab w:val="left" w:pos="275"/>
              </w:tabs>
              <w:snapToGrid w:val="0"/>
              <w:spacing w:line="280" w:lineRule="exact"/>
              <w:ind w:left="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p>
        </w:tc>
        <w:tc>
          <w:tcPr>
            <w:tcW w:w="2552" w:type="dxa"/>
            <w:gridSpan w:val="2"/>
            <w:noWrap w:val="0"/>
            <w:vAlign w:val="center"/>
          </w:tcPr>
          <w:p w14:paraId="62BD2AD5">
            <w:pPr>
              <w:snapToGrid w:val="0"/>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rPr>
              <w:t>具有独立承担民事责任的能力</w:t>
            </w:r>
            <w:r>
              <w:rPr>
                <w:rFonts w:hint="eastAsia" w:ascii="宋体" w:hAnsi="宋体"/>
                <w:sz w:val="18"/>
                <w:szCs w:val="18"/>
                <w:highlight w:val="none"/>
                <w:lang w:val="en-US" w:eastAsia="zh-CN"/>
              </w:rPr>
              <w:t>-在中华人民共和国境内依法登记注册，并有效存续具有独立法人资格的供应商</w:t>
            </w:r>
          </w:p>
        </w:tc>
        <w:tc>
          <w:tcPr>
            <w:tcW w:w="5386" w:type="dxa"/>
            <w:noWrap w:val="0"/>
            <w:vAlign w:val="center"/>
          </w:tcPr>
          <w:p w14:paraId="2489A05C">
            <w:pPr>
              <w:spacing w:line="280" w:lineRule="exact"/>
              <w:rPr>
                <w:rFonts w:hint="eastAsia" w:ascii="宋体" w:hAnsi="宋体" w:eastAsia="宋体"/>
                <w:sz w:val="18"/>
                <w:szCs w:val="18"/>
                <w:highlight w:val="none"/>
                <w:lang w:eastAsia="zh-CN"/>
              </w:rPr>
            </w:pPr>
            <w:r>
              <w:rPr>
                <w:rFonts w:ascii="宋体" w:hAnsi="宋体"/>
                <w:sz w:val="18"/>
                <w:szCs w:val="18"/>
                <w:highlight w:val="none"/>
              </w:rPr>
              <w:t>营业执照（正本或副本）复印件或法人证书（正本或副本）复印件</w:t>
            </w:r>
            <w:r>
              <w:rPr>
                <w:rFonts w:hint="eastAsia" w:ascii="宋体" w:hAnsi="宋体"/>
                <w:sz w:val="18"/>
                <w:szCs w:val="18"/>
                <w:highlight w:val="none"/>
                <w:lang w:eastAsia="zh-CN"/>
              </w:rPr>
              <w:t>。</w:t>
            </w:r>
          </w:p>
        </w:tc>
        <w:tc>
          <w:tcPr>
            <w:tcW w:w="709" w:type="dxa"/>
            <w:noWrap w:val="0"/>
            <w:vAlign w:val="center"/>
          </w:tcPr>
          <w:p w14:paraId="0292FBFD">
            <w:pPr>
              <w:snapToGrid w:val="0"/>
              <w:spacing w:line="280" w:lineRule="exact"/>
              <w:rPr>
                <w:rFonts w:ascii="宋体" w:hAnsi="宋体"/>
                <w:sz w:val="18"/>
                <w:szCs w:val="18"/>
                <w:highlight w:val="none"/>
              </w:rPr>
            </w:pPr>
          </w:p>
        </w:tc>
      </w:tr>
      <w:tr w14:paraId="4296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restart"/>
            <w:noWrap w:val="0"/>
            <w:vAlign w:val="center"/>
          </w:tcPr>
          <w:p w14:paraId="43036DA6">
            <w:pPr>
              <w:pStyle w:val="22"/>
              <w:numPr>
                <w:ilvl w:val="0"/>
                <w:numId w:val="0"/>
              </w:numPr>
              <w:tabs>
                <w:tab w:val="left" w:pos="275"/>
              </w:tabs>
              <w:snapToGrid w:val="0"/>
              <w:spacing w:line="280" w:lineRule="exact"/>
              <w:ind w:left="0" w:firstLine="0" w:firstLineChars="0"/>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2</w:t>
            </w:r>
          </w:p>
        </w:tc>
        <w:tc>
          <w:tcPr>
            <w:tcW w:w="949" w:type="dxa"/>
            <w:vMerge w:val="restart"/>
            <w:noWrap w:val="0"/>
            <w:vAlign w:val="center"/>
          </w:tcPr>
          <w:p w14:paraId="71CDE07C">
            <w:pPr>
              <w:snapToGrid w:val="0"/>
              <w:spacing w:line="280" w:lineRule="exact"/>
              <w:rPr>
                <w:rFonts w:hint="eastAsia" w:ascii="宋体" w:hAnsi="宋体" w:eastAsia="宋体"/>
                <w:sz w:val="18"/>
                <w:szCs w:val="18"/>
                <w:highlight w:val="none"/>
                <w:lang w:eastAsia="zh-CN"/>
              </w:rPr>
            </w:pPr>
            <w:r>
              <w:rPr>
                <w:rFonts w:hint="eastAsia" w:ascii="宋体" w:hAnsi="宋体"/>
                <w:sz w:val="18"/>
                <w:szCs w:val="18"/>
                <w:highlight w:val="none"/>
                <w:lang w:eastAsia="zh-CN"/>
              </w:rPr>
              <w:t>书面申明材料</w:t>
            </w:r>
          </w:p>
        </w:tc>
        <w:tc>
          <w:tcPr>
            <w:tcW w:w="1603" w:type="dxa"/>
            <w:noWrap w:val="0"/>
            <w:vAlign w:val="center"/>
          </w:tcPr>
          <w:p w14:paraId="4D48B60E">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w:t>
            </w:r>
            <w:r>
              <w:rPr>
                <w:rFonts w:hint="eastAsia" w:ascii="宋体" w:hAnsi="宋体"/>
                <w:sz w:val="18"/>
                <w:szCs w:val="18"/>
                <w:highlight w:val="none"/>
              </w:rPr>
              <w:t>具有良好的商业信誉和健全的财务会计制度</w:t>
            </w:r>
          </w:p>
        </w:tc>
        <w:tc>
          <w:tcPr>
            <w:tcW w:w="5386" w:type="dxa"/>
            <w:noWrap w:val="0"/>
            <w:vAlign w:val="center"/>
          </w:tcPr>
          <w:p w14:paraId="3A79FD7A">
            <w:pPr>
              <w:widowControl/>
              <w:shd w:val="clear" w:color="auto" w:fill="auto"/>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1.</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ascii="宋体" w:hAnsi="宋体"/>
                <w:sz w:val="18"/>
                <w:szCs w:val="18"/>
                <w:highlight w:val="none"/>
              </w:rPr>
              <w:t>具有良好的商业信誉</w:t>
            </w:r>
            <w:r>
              <w:rPr>
                <w:rFonts w:hint="eastAsia" w:ascii="宋体" w:hAnsi="宋体"/>
                <w:sz w:val="18"/>
                <w:szCs w:val="18"/>
                <w:highlight w:val="none"/>
                <w:lang w:eastAsia="zh-CN"/>
              </w:rPr>
              <w:t>和</w:t>
            </w:r>
            <w:r>
              <w:rPr>
                <w:rFonts w:hint="eastAsia" w:ascii="宋体" w:hAnsi="宋体"/>
                <w:sz w:val="18"/>
                <w:szCs w:val="18"/>
                <w:highlight w:val="none"/>
              </w:rPr>
              <w:t>健全的财务会计制度。</w:t>
            </w:r>
          </w:p>
        </w:tc>
        <w:tc>
          <w:tcPr>
            <w:tcW w:w="709" w:type="dxa"/>
            <w:noWrap w:val="0"/>
            <w:vAlign w:val="center"/>
          </w:tcPr>
          <w:p w14:paraId="3D2BADEB">
            <w:pPr>
              <w:snapToGrid w:val="0"/>
              <w:spacing w:line="280" w:lineRule="exact"/>
              <w:rPr>
                <w:rFonts w:ascii="宋体" w:hAnsi="宋体"/>
                <w:sz w:val="18"/>
                <w:szCs w:val="18"/>
                <w:highlight w:val="none"/>
              </w:rPr>
            </w:pPr>
          </w:p>
        </w:tc>
      </w:tr>
      <w:tr w14:paraId="72BB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687755BB">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7D02382B">
            <w:pPr>
              <w:snapToGrid w:val="0"/>
              <w:spacing w:line="280" w:lineRule="exact"/>
              <w:rPr>
                <w:rFonts w:hint="eastAsia" w:ascii="宋体" w:hAnsi="宋体"/>
                <w:sz w:val="18"/>
                <w:szCs w:val="18"/>
                <w:highlight w:val="none"/>
              </w:rPr>
            </w:pPr>
          </w:p>
        </w:tc>
        <w:tc>
          <w:tcPr>
            <w:tcW w:w="1603" w:type="dxa"/>
            <w:noWrap w:val="0"/>
            <w:vAlign w:val="center"/>
          </w:tcPr>
          <w:p w14:paraId="693105A0">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有依法缴纳税收和社会保障资金的良好记录</w:t>
            </w:r>
          </w:p>
        </w:tc>
        <w:tc>
          <w:tcPr>
            <w:tcW w:w="5386" w:type="dxa"/>
            <w:noWrap w:val="0"/>
            <w:vAlign w:val="center"/>
          </w:tcPr>
          <w:p w14:paraId="400F760F">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val="en-US" w:eastAsia="zh-CN"/>
              </w:rPr>
              <w:t>2.</w:t>
            </w:r>
            <w:r>
              <w:rPr>
                <w:rFonts w:hint="eastAsia" w:ascii="宋体" w:hAnsi="宋体"/>
                <w:sz w:val="18"/>
                <w:szCs w:val="18"/>
                <w:highlight w:val="none"/>
              </w:rPr>
              <w:t>供应商</w:t>
            </w:r>
            <w:r>
              <w:rPr>
                <w:rFonts w:hint="eastAsia" w:ascii="宋体" w:hAnsi="宋体"/>
                <w:sz w:val="18"/>
                <w:szCs w:val="18"/>
                <w:highlight w:val="none"/>
                <w:lang w:eastAsia="zh-CN"/>
              </w:rPr>
              <w:t>声明</w:t>
            </w:r>
            <w:r>
              <w:rPr>
                <w:rFonts w:hint="eastAsia" w:ascii="宋体" w:hAnsi="宋体"/>
                <w:sz w:val="18"/>
                <w:szCs w:val="18"/>
                <w:highlight w:val="none"/>
              </w:rPr>
              <w:t>有依法</w:t>
            </w:r>
            <w:r>
              <w:rPr>
                <w:rFonts w:hint="eastAsia" w:ascii="宋体" w:hAnsi="宋体" w:cs="宋体"/>
                <w:sz w:val="18"/>
                <w:szCs w:val="18"/>
                <w:highlight w:val="none"/>
              </w:rPr>
              <w:t>缴纳</w:t>
            </w:r>
            <w:r>
              <w:rPr>
                <w:rFonts w:hint="eastAsia" w:ascii="宋体" w:hAnsi="宋体" w:cs="宋体"/>
                <w:sz w:val="18"/>
                <w:szCs w:val="18"/>
                <w:highlight w:val="none"/>
                <w:lang w:eastAsia="zh-CN"/>
              </w:rPr>
              <w:t>税收和</w:t>
            </w:r>
            <w:r>
              <w:rPr>
                <w:rFonts w:hint="eastAsia" w:ascii="宋体" w:hAnsi="宋体"/>
                <w:sz w:val="18"/>
                <w:szCs w:val="18"/>
                <w:highlight w:val="none"/>
              </w:rPr>
              <w:t>缴纳社会保障资金的良好记录。</w:t>
            </w:r>
          </w:p>
        </w:tc>
        <w:tc>
          <w:tcPr>
            <w:tcW w:w="709" w:type="dxa"/>
            <w:noWrap w:val="0"/>
            <w:vAlign w:val="center"/>
          </w:tcPr>
          <w:p w14:paraId="4B829606">
            <w:pPr>
              <w:snapToGrid w:val="0"/>
              <w:spacing w:line="280" w:lineRule="exact"/>
              <w:rPr>
                <w:rFonts w:ascii="宋体" w:hAnsi="宋体"/>
                <w:sz w:val="18"/>
                <w:szCs w:val="18"/>
                <w:highlight w:val="none"/>
              </w:rPr>
            </w:pPr>
          </w:p>
        </w:tc>
      </w:tr>
      <w:tr w14:paraId="0A9B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6AF2582B">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78DB349C">
            <w:pPr>
              <w:snapToGrid w:val="0"/>
              <w:spacing w:line="280" w:lineRule="exact"/>
              <w:rPr>
                <w:rFonts w:hint="eastAsia" w:ascii="宋体" w:hAnsi="宋体"/>
                <w:sz w:val="18"/>
                <w:szCs w:val="18"/>
                <w:highlight w:val="none"/>
              </w:rPr>
            </w:pPr>
          </w:p>
        </w:tc>
        <w:tc>
          <w:tcPr>
            <w:tcW w:w="1603" w:type="dxa"/>
            <w:noWrap w:val="0"/>
            <w:vAlign w:val="center"/>
          </w:tcPr>
          <w:p w14:paraId="1BE8722A">
            <w:pPr>
              <w:snapToGrid w:val="0"/>
              <w:spacing w:line="28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w:t>
            </w:r>
            <w:r>
              <w:rPr>
                <w:rFonts w:hint="eastAsia" w:ascii="宋体" w:hAnsi="宋体"/>
                <w:sz w:val="18"/>
                <w:szCs w:val="18"/>
                <w:highlight w:val="none"/>
              </w:rPr>
              <w:t>参加采购活动前三年内，在经营活动中没有重大违法记录</w:t>
            </w:r>
          </w:p>
        </w:tc>
        <w:tc>
          <w:tcPr>
            <w:tcW w:w="5386" w:type="dxa"/>
            <w:noWrap w:val="0"/>
            <w:vAlign w:val="center"/>
          </w:tcPr>
          <w:p w14:paraId="2AFA02A8">
            <w:pPr>
              <w:widowControl/>
              <w:snapToGrid/>
              <w:spacing w:after="0" w:line="280" w:lineRule="exact"/>
              <w:ind w:firstLine="360" w:firstLineChars="200"/>
              <w:jc w:val="left"/>
              <w:rPr>
                <w:rFonts w:hint="eastAsia" w:ascii="宋体" w:hAnsi="宋体" w:cs="宋体"/>
                <w:sz w:val="18"/>
                <w:szCs w:val="18"/>
                <w:highlight w:val="none"/>
                <w:lang w:eastAsia="zh-CN"/>
              </w:rPr>
            </w:pPr>
            <w:r>
              <w:rPr>
                <w:rFonts w:hint="eastAsia" w:ascii="宋体" w:hAnsi="宋体" w:cs="宋体"/>
                <w:sz w:val="18"/>
                <w:szCs w:val="18"/>
                <w:highlight w:val="none"/>
                <w:lang w:val="en-US" w:eastAsia="zh-CN"/>
              </w:rPr>
              <w:t>3.（1）</w:t>
            </w:r>
            <w:r>
              <w:rPr>
                <w:rFonts w:hint="eastAsia" w:ascii="宋体" w:hAnsi="宋体" w:cs="宋体"/>
                <w:sz w:val="18"/>
                <w:szCs w:val="18"/>
                <w:highlight w:val="none"/>
                <w:lang w:eastAsia="zh-CN"/>
              </w:rPr>
              <w:t>供应商</w:t>
            </w:r>
            <w:r>
              <w:rPr>
                <w:rFonts w:hint="eastAsia" w:ascii="宋体" w:hAnsi="宋体" w:cs="宋体"/>
                <w:sz w:val="18"/>
                <w:szCs w:val="18"/>
                <w:highlight w:val="none"/>
                <w:lang w:val="en-US" w:eastAsia="zh-CN"/>
              </w:rPr>
              <w:t>声明在</w:t>
            </w:r>
            <w:r>
              <w:rPr>
                <w:rFonts w:hint="eastAsia" w:ascii="宋体" w:hAnsi="宋体" w:cs="宋体"/>
                <w:sz w:val="18"/>
                <w:szCs w:val="18"/>
                <w:highlight w:val="none"/>
              </w:rPr>
              <w:t>参加政府采购活动前三年内经营活动中没有重大违法记录</w:t>
            </w:r>
            <w:r>
              <w:rPr>
                <w:rFonts w:hint="eastAsia" w:ascii="宋体" w:hAnsi="宋体" w:cs="宋体"/>
                <w:sz w:val="18"/>
                <w:szCs w:val="18"/>
                <w:highlight w:val="none"/>
                <w:lang w:eastAsia="zh-CN"/>
              </w:rPr>
              <w:t>。</w:t>
            </w:r>
          </w:p>
          <w:p w14:paraId="3B14C509">
            <w:pPr>
              <w:widowControl/>
              <w:snapToGrid/>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rPr>
              <w:t>注：</w:t>
            </w:r>
            <w:r>
              <w:rPr>
                <w:rFonts w:hint="eastAsia" w:ascii="宋体" w:hAnsi="宋体" w:cs="宋体"/>
                <w:sz w:val="18"/>
                <w:szCs w:val="18"/>
                <w:highlight w:val="none"/>
                <w:lang w:eastAsia="zh-CN"/>
              </w:rPr>
              <w:t>供应商</w:t>
            </w:r>
            <w:r>
              <w:rPr>
                <w:rFonts w:hint="eastAsia" w:ascii="宋体" w:hAnsi="宋体" w:cs="宋体"/>
                <w:sz w:val="18"/>
                <w:szCs w:val="18"/>
                <w:highlight w:val="none"/>
              </w:rPr>
              <w:t>参加政府采购活动前三年内，在经营活动中没有重大违法记录（说明：</w:t>
            </w:r>
            <w:r>
              <w:rPr>
                <w:rFonts w:hint="eastAsia" w:ascii="宋体" w:hAnsi="宋体" w:cs="宋体"/>
                <w:sz w:val="18"/>
                <w:szCs w:val="18"/>
                <w:highlight w:val="none"/>
                <w:lang w:eastAsia="zh-CN"/>
              </w:rPr>
              <w:t>供应商</w:t>
            </w:r>
            <w:r>
              <w:rPr>
                <w:rFonts w:hint="eastAsia" w:ascii="宋体" w:hAnsi="宋体" w:cs="宋体"/>
                <w:sz w:val="18"/>
                <w:szCs w:val="18"/>
                <w:highlight w:val="none"/>
              </w:rPr>
              <w:t>在参加政府采购活动前3年内因违法经营被禁止在一定期限内参加政府采购活动，期限届满的，可以参加政府采购活动，但</w:t>
            </w:r>
            <w:r>
              <w:rPr>
                <w:rFonts w:hint="eastAsia" w:ascii="宋体" w:hAnsi="宋体" w:cs="宋体"/>
                <w:sz w:val="18"/>
                <w:szCs w:val="18"/>
                <w:highlight w:val="none"/>
                <w:lang w:eastAsia="zh-CN"/>
              </w:rPr>
              <w:t>供应商</w:t>
            </w:r>
            <w:r>
              <w:rPr>
                <w:rFonts w:hint="eastAsia" w:ascii="宋体" w:hAnsi="宋体" w:cs="宋体"/>
                <w:sz w:val="18"/>
                <w:szCs w:val="18"/>
                <w:highlight w:val="none"/>
              </w:rPr>
              <w:t>应提供相关证明材料）；</w:t>
            </w:r>
          </w:p>
          <w:p w14:paraId="4453EDD7">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zh-CN"/>
              </w:rPr>
              <w:t>（</w:t>
            </w:r>
            <w:r>
              <w:rPr>
                <w:rFonts w:hint="eastAsia" w:ascii="宋体" w:hAnsi="宋体" w:cs="宋体"/>
                <w:sz w:val="18"/>
                <w:szCs w:val="18"/>
                <w:highlight w:val="none"/>
                <w:lang w:val="en-US" w:eastAsia="zh-CN"/>
              </w:rPr>
              <w:t>2</w:t>
            </w:r>
            <w:r>
              <w:rPr>
                <w:rFonts w:hint="eastAsia" w:ascii="宋体" w:hAnsi="宋体" w:cs="宋体"/>
                <w:sz w:val="18"/>
                <w:szCs w:val="18"/>
                <w:highlight w:val="none"/>
                <w:lang w:eastAsia="zh-CN"/>
              </w:rPr>
              <w:t>）</w:t>
            </w:r>
            <w:r>
              <w:rPr>
                <w:rFonts w:hint="eastAsia" w:ascii="宋体" w:hAnsi="宋体" w:cs="宋体"/>
                <w:sz w:val="18"/>
                <w:szCs w:val="18"/>
                <w:highlight w:val="none"/>
                <w:lang w:eastAsia="ar-SA"/>
              </w:rPr>
              <w:t>资格审查小组根据信用中国、中国政府采购网等网站的查询结果，对供应商在参加本项目政府采购活动前三年内，</w:t>
            </w:r>
            <w:r>
              <w:rPr>
                <w:rFonts w:hint="eastAsia" w:ascii="宋体" w:hAnsi="宋体"/>
                <w:sz w:val="18"/>
                <w:szCs w:val="18"/>
                <w:highlight w:val="none"/>
              </w:rPr>
              <w:t>在经营活动中</w:t>
            </w:r>
            <w:r>
              <w:rPr>
                <w:rFonts w:hint="eastAsia" w:ascii="宋体" w:hAnsi="宋体" w:cs="宋体"/>
                <w:sz w:val="18"/>
                <w:szCs w:val="18"/>
                <w:highlight w:val="none"/>
                <w:lang w:eastAsia="ar-SA"/>
              </w:rPr>
              <w:t>是否</w:t>
            </w:r>
            <w:r>
              <w:rPr>
                <w:rFonts w:hint="eastAsia" w:ascii="宋体" w:hAnsi="宋体" w:cs="宋体"/>
                <w:sz w:val="18"/>
                <w:szCs w:val="18"/>
                <w:highlight w:val="none"/>
                <w:lang w:eastAsia="zh-CN"/>
              </w:rPr>
              <w:t>有</w:t>
            </w:r>
            <w:r>
              <w:rPr>
                <w:rFonts w:hint="eastAsia" w:ascii="宋体" w:hAnsi="宋体"/>
                <w:sz w:val="18"/>
                <w:szCs w:val="18"/>
                <w:highlight w:val="none"/>
              </w:rPr>
              <w:t>重大违法记录</w:t>
            </w:r>
            <w:r>
              <w:rPr>
                <w:rFonts w:hint="eastAsia" w:ascii="宋体" w:hAnsi="宋体" w:cs="宋体"/>
                <w:sz w:val="18"/>
                <w:szCs w:val="18"/>
                <w:highlight w:val="none"/>
                <w:lang w:eastAsia="ar-SA"/>
              </w:rPr>
              <w:t>进行审查。</w:t>
            </w:r>
          </w:p>
          <w:p w14:paraId="75D7AF0D">
            <w:pPr>
              <w:widowControl/>
              <w:snapToGrid/>
              <w:spacing w:after="0" w:line="280" w:lineRule="exact"/>
              <w:ind w:firstLine="360" w:firstLineChars="200"/>
              <w:jc w:val="left"/>
              <w:rPr>
                <w:rFonts w:hint="eastAsia" w:ascii="宋体" w:hAnsi="宋体" w:cs="宋体"/>
                <w:sz w:val="18"/>
                <w:szCs w:val="18"/>
                <w:highlight w:val="none"/>
                <w:lang w:eastAsia="ar-SA"/>
              </w:rPr>
            </w:pPr>
            <w:r>
              <w:rPr>
                <w:rFonts w:hint="eastAsia" w:ascii="宋体" w:hAnsi="宋体" w:cs="宋体"/>
                <w:sz w:val="18"/>
                <w:szCs w:val="18"/>
                <w:highlight w:val="none"/>
                <w:lang w:eastAsia="ar-SA"/>
              </w:rPr>
              <w:t>说明：</w:t>
            </w:r>
            <w:r>
              <w:rPr>
                <w:rFonts w:hint="eastAsia" w:ascii="宋体" w:hAnsi="宋体"/>
                <w:sz w:val="18"/>
                <w:szCs w:val="18"/>
                <w:highlight w:val="none"/>
              </w:rPr>
              <w:t>参加政府采购活动前三年内，在经营活动中没有重大违法记录</w:t>
            </w:r>
            <w:r>
              <w:rPr>
                <w:rFonts w:hint="eastAsia" w:ascii="宋体" w:hAnsi="宋体" w:cs="宋体"/>
                <w:sz w:val="18"/>
                <w:szCs w:val="18"/>
                <w:highlight w:val="none"/>
                <w:lang w:eastAsia="ar-SA"/>
              </w:rPr>
              <w:t>（供应商在参加政府采购活动前被禁止在一定期限内参加政府采购活动，期限届满的可以参加政府采购活动，但应提供相关证明材料）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p w14:paraId="3783EFA8">
            <w:pPr>
              <w:widowControl/>
              <w:snapToGrid/>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lang w:eastAsia="zh-CN"/>
              </w:rPr>
              <w:t>注：重大违法记录是指：供应商因违法经营受到刑事处罚或者责令停产停业、吊销许可证或者执照、较大数额罚款等行政处罚。</w:t>
            </w:r>
          </w:p>
        </w:tc>
        <w:tc>
          <w:tcPr>
            <w:tcW w:w="709" w:type="dxa"/>
            <w:noWrap w:val="0"/>
            <w:vAlign w:val="center"/>
          </w:tcPr>
          <w:p w14:paraId="5EBF6C1B">
            <w:pPr>
              <w:snapToGrid w:val="0"/>
              <w:spacing w:line="280" w:lineRule="exact"/>
              <w:rPr>
                <w:rFonts w:ascii="宋体" w:hAnsi="宋体"/>
                <w:sz w:val="18"/>
                <w:szCs w:val="18"/>
                <w:highlight w:val="none"/>
              </w:rPr>
            </w:pPr>
          </w:p>
        </w:tc>
      </w:tr>
      <w:tr w14:paraId="3F21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6E080421">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7A74466D">
            <w:pPr>
              <w:snapToGrid w:val="0"/>
              <w:spacing w:line="280" w:lineRule="exact"/>
              <w:rPr>
                <w:rFonts w:hint="eastAsia" w:ascii="宋体" w:hAnsi="宋体"/>
                <w:sz w:val="18"/>
                <w:szCs w:val="18"/>
                <w:highlight w:val="none"/>
              </w:rPr>
            </w:pPr>
          </w:p>
        </w:tc>
        <w:tc>
          <w:tcPr>
            <w:tcW w:w="1603" w:type="dxa"/>
            <w:noWrap w:val="0"/>
            <w:vAlign w:val="center"/>
          </w:tcPr>
          <w:p w14:paraId="64B1B7E8">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w:t>
            </w:r>
            <w:r>
              <w:rPr>
                <w:rFonts w:hint="eastAsia" w:ascii="宋体" w:hAnsi="宋体"/>
                <w:sz w:val="18"/>
                <w:szCs w:val="18"/>
                <w:highlight w:val="none"/>
              </w:rPr>
              <w:t>未被列入失信被执行人、重大税收违法案件当事人名单、政府采购严重违法失信行为记录名单</w:t>
            </w:r>
          </w:p>
        </w:tc>
        <w:tc>
          <w:tcPr>
            <w:tcW w:w="5386" w:type="dxa"/>
            <w:noWrap w:val="0"/>
            <w:vAlign w:val="center"/>
          </w:tcPr>
          <w:p w14:paraId="618E6E5F">
            <w:pPr>
              <w:widowControl/>
              <w:numPr>
                <w:ilvl w:val="0"/>
                <w:numId w:val="0"/>
              </w:numPr>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lang w:val="en-US" w:eastAsia="zh-CN"/>
              </w:rPr>
              <w:t>4.（1）</w:t>
            </w:r>
            <w:r>
              <w:rPr>
                <w:rFonts w:hint="eastAsia" w:ascii="宋体" w:hAnsi="宋体"/>
                <w:sz w:val="18"/>
                <w:szCs w:val="18"/>
                <w:highlight w:val="none"/>
              </w:rPr>
              <w:t>供应商未被列入失信被执行人、重大税收违法案件当事人名单、政府采购严重违法失信行为记录名单。</w:t>
            </w:r>
          </w:p>
          <w:p w14:paraId="52781794">
            <w:pPr>
              <w:widowControl/>
              <w:spacing w:after="0" w:line="280" w:lineRule="exact"/>
              <w:ind w:firstLine="360" w:firstLineChars="200"/>
              <w:jc w:val="left"/>
              <w:rPr>
                <w:rFonts w:hint="eastAsia" w:ascii="宋体" w:hAnsi="宋体"/>
                <w:sz w:val="18"/>
                <w:szCs w:val="18"/>
                <w:highlight w:val="none"/>
              </w:rPr>
            </w:pPr>
            <w:r>
              <w:rPr>
                <w:rFonts w:hint="eastAsia" w:ascii="宋体" w:hAnsi="宋体"/>
                <w:sz w:val="18"/>
                <w:szCs w:val="18"/>
                <w:highlight w:val="none"/>
              </w:rPr>
              <w:t>注：供应商未被列入失信被执行人、重大税收违法案件当事人名单、政府采购严重违法失信行为记录名单（供应商在参加政府采购活动前被禁止在一定期限内参加政府采购活动，期限届满的可以参加政府采购活动，但供应商应提供相关证明材料）；</w:t>
            </w:r>
          </w:p>
          <w:p w14:paraId="43442ED0">
            <w:pPr>
              <w:widowControl/>
              <w:spacing w:after="0" w:line="280" w:lineRule="exact"/>
              <w:ind w:firstLine="360" w:firstLineChars="200"/>
              <w:jc w:val="left"/>
              <w:rPr>
                <w:rFonts w:hint="eastAsia" w:ascii="宋体" w:hAnsi="宋体" w:cs="宋体"/>
                <w:sz w:val="18"/>
                <w:szCs w:val="18"/>
                <w:highlight w:val="none"/>
              </w:rPr>
            </w:pPr>
            <w:r>
              <w:rPr>
                <w:rFonts w:hint="eastAsia" w:ascii="宋体" w:hAnsi="宋体" w:cs="宋体"/>
                <w:sz w:val="18"/>
                <w:szCs w:val="18"/>
                <w:highlight w:val="none"/>
                <w:lang w:val="en-US" w:eastAsia="zh-CN"/>
              </w:rPr>
              <w:t>（2）</w:t>
            </w:r>
            <w:r>
              <w:rPr>
                <w:rFonts w:hint="eastAsia" w:ascii="宋体" w:hAnsi="宋体" w:cs="宋体"/>
                <w:sz w:val="18"/>
                <w:szCs w:val="18"/>
                <w:highlight w:val="none"/>
              </w:rPr>
              <w:t>资格审查小组根据信用中国、中国政府采购网等网站的查询结果，对供应商在参加本项目政府采购活动前三年内，是否被列入失信被执行人、重大税收违法案件当事人名单、政府采购严重违法失信行为记录名单进行审查。</w:t>
            </w:r>
          </w:p>
          <w:p w14:paraId="6E7BD6AE">
            <w:pPr>
              <w:widowControl/>
              <w:spacing w:after="0" w:line="280" w:lineRule="exact"/>
              <w:ind w:firstLine="360" w:firstLineChars="200"/>
              <w:jc w:val="left"/>
              <w:rPr>
                <w:rFonts w:ascii="宋体" w:hAnsi="宋体" w:eastAsia="宋体" w:cs="Times New Roman"/>
                <w:kern w:val="2"/>
                <w:sz w:val="18"/>
                <w:szCs w:val="18"/>
                <w:highlight w:val="none"/>
                <w:lang w:val="en-US" w:eastAsia="zh-CN" w:bidi="ar-SA"/>
              </w:rPr>
            </w:pPr>
            <w:r>
              <w:rPr>
                <w:rFonts w:hint="eastAsia" w:ascii="宋体" w:hAnsi="宋体" w:cs="宋体"/>
                <w:sz w:val="18"/>
                <w:szCs w:val="18"/>
                <w:highlight w:val="none"/>
              </w:rPr>
              <w:t>说明：供应商未被列入失信被执行人、重大税收违法案件当事人名单、政府采购严重违法失信行为记录名单（供应商在参加政府采购活动前被禁止在一定期限内参加政府采购活动，期限届满的可以参加政府采购活动，但应提供相关证明材料）</w:t>
            </w:r>
            <w:r>
              <w:rPr>
                <w:rFonts w:hint="eastAsia" w:ascii="宋体" w:hAnsi="宋体" w:cs="宋体"/>
                <w:sz w:val="18"/>
                <w:szCs w:val="18"/>
                <w:highlight w:val="none"/>
                <w:lang w:eastAsia="zh-CN"/>
              </w:rPr>
              <w:t>。</w:t>
            </w:r>
          </w:p>
        </w:tc>
        <w:tc>
          <w:tcPr>
            <w:tcW w:w="709" w:type="dxa"/>
            <w:noWrap w:val="0"/>
            <w:vAlign w:val="center"/>
          </w:tcPr>
          <w:p w14:paraId="3047D842">
            <w:pPr>
              <w:snapToGrid w:val="0"/>
              <w:spacing w:line="280" w:lineRule="exact"/>
              <w:rPr>
                <w:rFonts w:ascii="宋体" w:hAnsi="宋体"/>
                <w:sz w:val="18"/>
                <w:szCs w:val="18"/>
                <w:highlight w:val="none"/>
              </w:rPr>
            </w:pPr>
          </w:p>
        </w:tc>
      </w:tr>
      <w:tr w14:paraId="24D6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49154721">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5C68AF5B">
            <w:pPr>
              <w:snapToGrid w:val="0"/>
              <w:spacing w:line="280" w:lineRule="exact"/>
              <w:rPr>
                <w:rFonts w:hint="eastAsia" w:ascii="宋体" w:hAnsi="宋体"/>
                <w:sz w:val="18"/>
                <w:szCs w:val="18"/>
                <w:highlight w:val="none"/>
              </w:rPr>
            </w:pPr>
          </w:p>
        </w:tc>
        <w:tc>
          <w:tcPr>
            <w:tcW w:w="1603" w:type="dxa"/>
            <w:noWrap w:val="0"/>
            <w:vAlign w:val="top"/>
          </w:tcPr>
          <w:p w14:paraId="494DD2DE">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未处于被行政部门禁止参与政府采购活动的期限内</w:t>
            </w:r>
          </w:p>
        </w:tc>
        <w:tc>
          <w:tcPr>
            <w:tcW w:w="5386" w:type="dxa"/>
            <w:noWrap w:val="0"/>
            <w:vAlign w:val="top"/>
          </w:tcPr>
          <w:p w14:paraId="6B207286">
            <w:pPr>
              <w:widowControl/>
              <w:numPr>
                <w:ilvl w:val="0"/>
                <w:numId w:val="0"/>
              </w:numPr>
              <w:spacing w:after="0" w:line="280" w:lineRule="exact"/>
              <w:ind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5.</w:t>
            </w:r>
            <w:r>
              <w:rPr>
                <w:rFonts w:hint="eastAsia" w:ascii="宋体" w:hAnsi="宋体"/>
                <w:sz w:val="18"/>
                <w:szCs w:val="18"/>
                <w:highlight w:val="none"/>
              </w:rPr>
              <w:t>供应商声明未处于被行政部门禁止参与政府采购活动的期限内</w:t>
            </w:r>
            <w:r>
              <w:rPr>
                <w:rFonts w:hint="eastAsia" w:ascii="宋体" w:hAnsi="宋体"/>
                <w:sz w:val="18"/>
                <w:szCs w:val="18"/>
                <w:highlight w:val="none"/>
                <w:lang w:eastAsia="zh-CN"/>
              </w:rPr>
              <w:t>。</w:t>
            </w:r>
          </w:p>
        </w:tc>
        <w:tc>
          <w:tcPr>
            <w:tcW w:w="709" w:type="dxa"/>
            <w:noWrap w:val="0"/>
            <w:vAlign w:val="center"/>
          </w:tcPr>
          <w:p w14:paraId="5ED72FBA">
            <w:pPr>
              <w:snapToGrid w:val="0"/>
              <w:spacing w:line="280" w:lineRule="exact"/>
              <w:rPr>
                <w:rFonts w:ascii="宋体" w:hAnsi="宋体"/>
                <w:sz w:val="18"/>
                <w:szCs w:val="18"/>
                <w:highlight w:val="none"/>
              </w:rPr>
            </w:pPr>
          </w:p>
        </w:tc>
      </w:tr>
      <w:tr w14:paraId="45E6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54EDF69F">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71ADA4F9">
            <w:pPr>
              <w:snapToGrid w:val="0"/>
              <w:spacing w:line="280" w:lineRule="exact"/>
              <w:rPr>
                <w:rFonts w:hint="eastAsia" w:ascii="宋体" w:hAnsi="宋体"/>
                <w:sz w:val="18"/>
                <w:szCs w:val="18"/>
                <w:highlight w:val="none"/>
              </w:rPr>
            </w:pPr>
          </w:p>
        </w:tc>
        <w:tc>
          <w:tcPr>
            <w:tcW w:w="1603" w:type="dxa"/>
            <w:noWrap w:val="0"/>
            <w:vAlign w:val="center"/>
          </w:tcPr>
          <w:p w14:paraId="1E72222A">
            <w:pPr>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6.供应商单位及其现任法定代表人或主要负责人不得有</w:t>
            </w:r>
            <w:r>
              <w:rPr>
                <w:rFonts w:hint="eastAsia" w:ascii="宋体" w:hAnsi="宋体"/>
                <w:sz w:val="18"/>
                <w:szCs w:val="18"/>
                <w:highlight w:val="none"/>
              </w:rPr>
              <w:t>行贿犯罪记录</w:t>
            </w:r>
          </w:p>
        </w:tc>
        <w:tc>
          <w:tcPr>
            <w:tcW w:w="5386" w:type="dxa"/>
            <w:noWrap w:val="0"/>
            <w:vAlign w:val="center"/>
          </w:tcPr>
          <w:p w14:paraId="4C810C43">
            <w:pPr>
              <w:widowControl/>
              <w:numPr>
                <w:ilvl w:val="0"/>
                <w:numId w:val="0"/>
              </w:numPr>
              <w:spacing w:after="0" w:line="280" w:lineRule="exact"/>
              <w:ind w:left="0" w:leftChars="0" w:firstLine="360" w:firstLineChars="200"/>
              <w:jc w:val="lef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6.</w:t>
            </w:r>
            <w:r>
              <w:rPr>
                <w:rFonts w:hint="eastAsia" w:ascii="宋体" w:hAnsi="宋体"/>
                <w:sz w:val="18"/>
                <w:szCs w:val="18"/>
                <w:highlight w:val="none"/>
                <w:lang w:eastAsia="zh-CN"/>
              </w:rPr>
              <w:t>供应商声明</w:t>
            </w:r>
            <w:r>
              <w:rPr>
                <w:rFonts w:hint="eastAsia" w:ascii="宋体" w:hAnsi="宋体"/>
                <w:sz w:val="18"/>
                <w:szCs w:val="18"/>
                <w:highlight w:val="none"/>
              </w:rPr>
              <w:t>在行贿犯罪信息查询期限内，供应商及其现任法定代表人、主要负责人没有行贿犯罪记录。</w:t>
            </w:r>
          </w:p>
        </w:tc>
        <w:tc>
          <w:tcPr>
            <w:tcW w:w="709" w:type="dxa"/>
            <w:noWrap w:val="0"/>
            <w:vAlign w:val="center"/>
          </w:tcPr>
          <w:p w14:paraId="34814B39">
            <w:pPr>
              <w:snapToGrid w:val="0"/>
              <w:spacing w:line="280" w:lineRule="exact"/>
              <w:rPr>
                <w:rFonts w:ascii="宋体" w:hAnsi="宋体"/>
                <w:sz w:val="18"/>
                <w:szCs w:val="18"/>
                <w:highlight w:val="none"/>
              </w:rPr>
            </w:pPr>
          </w:p>
        </w:tc>
      </w:tr>
      <w:tr w14:paraId="5431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107C5E24">
            <w:pPr>
              <w:pStyle w:val="22"/>
              <w:numPr>
                <w:ilvl w:val="0"/>
                <w:numId w:val="0"/>
              </w:numPr>
              <w:tabs>
                <w:tab w:val="left" w:pos="275"/>
              </w:tabs>
              <w:snapToGrid w:val="0"/>
              <w:spacing w:line="280" w:lineRule="exact"/>
              <w:ind w:left="0" w:firstLine="0" w:firstLineChars="0"/>
              <w:jc w:val="center"/>
              <w:rPr>
                <w:rFonts w:hint="eastAsia" w:ascii="宋体" w:hAnsi="宋体"/>
                <w:sz w:val="18"/>
                <w:szCs w:val="18"/>
                <w:highlight w:val="none"/>
                <w:lang w:val="en-US" w:eastAsia="zh-CN"/>
              </w:rPr>
            </w:pPr>
          </w:p>
        </w:tc>
        <w:tc>
          <w:tcPr>
            <w:tcW w:w="949" w:type="dxa"/>
            <w:vMerge w:val="continue"/>
            <w:noWrap w:val="0"/>
            <w:vAlign w:val="center"/>
          </w:tcPr>
          <w:p w14:paraId="0B3A9A3C">
            <w:pPr>
              <w:snapToGrid w:val="0"/>
              <w:spacing w:line="280" w:lineRule="exact"/>
              <w:rPr>
                <w:rFonts w:hint="eastAsia" w:ascii="宋体" w:hAnsi="宋体"/>
                <w:sz w:val="18"/>
                <w:szCs w:val="18"/>
                <w:highlight w:val="none"/>
              </w:rPr>
            </w:pPr>
          </w:p>
        </w:tc>
        <w:tc>
          <w:tcPr>
            <w:tcW w:w="1603" w:type="dxa"/>
            <w:noWrap w:val="0"/>
            <w:vAlign w:val="center"/>
          </w:tcPr>
          <w:p w14:paraId="600F9A93">
            <w:pPr>
              <w:snapToGrid w:val="0"/>
              <w:spacing w:line="28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w:t>
            </w:r>
            <w:r>
              <w:rPr>
                <w:rFonts w:hint="eastAsia" w:ascii="宋体" w:hAnsi="宋体"/>
                <w:sz w:val="18"/>
                <w:szCs w:val="18"/>
                <w:highlight w:val="none"/>
              </w:rPr>
              <w:t>未被列入经营异常名录</w:t>
            </w:r>
          </w:p>
        </w:tc>
        <w:tc>
          <w:tcPr>
            <w:tcW w:w="5386" w:type="dxa"/>
            <w:noWrap w:val="0"/>
            <w:vAlign w:val="center"/>
          </w:tcPr>
          <w:p w14:paraId="1A1A9711">
            <w:pPr>
              <w:widowControl/>
              <w:numPr>
                <w:ilvl w:val="0"/>
                <w:numId w:val="0"/>
              </w:numPr>
              <w:snapToGrid/>
              <w:spacing w:after="0" w:line="280" w:lineRule="exact"/>
              <w:ind w:firstLine="360" w:firstLineChars="200"/>
              <w:jc w:val="left"/>
              <w:rPr>
                <w:rFonts w:hint="eastAsia" w:ascii="宋体" w:hAnsi="宋体"/>
                <w:sz w:val="18"/>
                <w:szCs w:val="18"/>
                <w:highlight w:val="none"/>
                <w:lang w:eastAsia="zh-CN"/>
              </w:rPr>
            </w:pPr>
            <w:r>
              <w:rPr>
                <w:rFonts w:hint="default" w:ascii="宋体" w:hAnsi="宋体"/>
                <w:sz w:val="18"/>
                <w:szCs w:val="18"/>
                <w:highlight w:val="none"/>
                <w:lang w:val="en-US" w:eastAsia="zh-CN"/>
              </w:rPr>
              <w:t>7.</w:t>
            </w:r>
            <w:r>
              <w:rPr>
                <w:rFonts w:hint="eastAsia" w:ascii="宋体" w:hAnsi="宋体"/>
                <w:sz w:val="18"/>
                <w:szCs w:val="18"/>
                <w:highlight w:val="none"/>
                <w:lang w:val="en-US" w:eastAsia="zh-CN"/>
              </w:rPr>
              <w:t>①</w:t>
            </w:r>
            <w:r>
              <w:rPr>
                <w:rFonts w:hint="eastAsia" w:ascii="宋体" w:hAnsi="宋体"/>
                <w:sz w:val="18"/>
                <w:szCs w:val="18"/>
                <w:highlight w:val="none"/>
                <w:lang w:eastAsia="zh-CN"/>
              </w:rPr>
              <w:t>投标供应</w:t>
            </w:r>
            <w:r>
              <w:rPr>
                <w:rFonts w:hint="eastAsia" w:ascii="宋体" w:hAnsi="宋体"/>
                <w:sz w:val="18"/>
                <w:szCs w:val="18"/>
                <w:highlight w:val="none"/>
                <w:lang w:val="en-US" w:eastAsia="zh-CN"/>
              </w:rPr>
              <w:t>声明</w:t>
            </w:r>
            <w:r>
              <w:rPr>
                <w:rFonts w:hint="eastAsia" w:ascii="宋体" w:hAnsi="宋体"/>
                <w:sz w:val="18"/>
                <w:szCs w:val="18"/>
                <w:highlight w:val="none"/>
                <w:lang w:eastAsia="zh-CN"/>
              </w:rPr>
              <w:t>未被列入经营异常名录</w:t>
            </w:r>
          </w:p>
          <w:p w14:paraId="7BDA2283">
            <w:pPr>
              <w:widowControl/>
              <w:numPr>
                <w:ilvl w:val="0"/>
                <w:numId w:val="0"/>
              </w:numPr>
              <w:spacing w:after="0" w:line="280" w:lineRule="exact"/>
              <w:ind w:firstLine="540" w:firstLineChars="300"/>
              <w:jc w:val="left"/>
              <w:rPr>
                <w:rFonts w:hint="eastAsia" w:ascii="宋体" w:hAnsi="宋体" w:cs="Times New Roman"/>
                <w:sz w:val="18"/>
                <w:szCs w:val="18"/>
                <w:highlight w:val="none"/>
                <w:lang w:val="zh-CN"/>
              </w:rPr>
            </w:pPr>
            <w:r>
              <w:rPr>
                <w:rFonts w:hint="eastAsia" w:ascii="宋体" w:hAnsi="宋体" w:cs="Times New Roman"/>
                <w:sz w:val="18"/>
                <w:szCs w:val="18"/>
                <w:highlight w:val="none"/>
                <w:lang w:val="en-US" w:eastAsia="zh-CN"/>
              </w:rPr>
              <w:t>②</w:t>
            </w:r>
            <w:r>
              <w:rPr>
                <w:rFonts w:hint="eastAsia" w:ascii="宋体" w:hAnsi="宋体" w:cs="Times New Roman"/>
                <w:sz w:val="18"/>
                <w:szCs w:val="18"/>
                <w:highlight w:val="none"/>
                <w:lang w:val="zh-CN"/>
              </w:rPr>
              <w:t>资格审查小组根据</w:t>
            </w:r>
            <w:r>
              <w:rPr>
                <w:rFonts w:hint="eastAsia" w:ascii="宋体" w:hAnsi="宋体" w:cs="Times New Roman"/>
                <w:sz w:val="18"/>
                <w:szCs w:val="18"/>
                <w:highlight w:val="none"/>
                <w:lang w:val="zh-CN" w:eastAsia="zh-CN"/>
              </w:rPr>
              <w:t>国家企业信用信息公示系统的</w:t>
            </w:r>
            <w:r>
              <w:rPr>
                <w:rFonts w:hint="eastAsia" w:ascii="宋体" w:hAnsi="宋体" w:cs="Times New Roman"/>
                <w:sz w:val="18"/>
                <w:szCs w:val="18"/>
                <w:highlight w:val="none"/>
                <w:lang w:val="zh-CN"/>
              </w:rPr>
              <w:t>查询结果，对供应商</w:t>
            </w:r>
            <w:r>
              <w:rPr>
                <w:rFonts w:hint="eastAsia" w:ascii="宋体" w:hAnsi="宋体" w:cs="Times New Roman"/>
                <w:sz w:val="18"/>
                <w:szCs w:val="18"/>
                <w:highlight w:val="none"/>
                <w:lang w:val="zh-CN" w:eastAsia="zh-CN"/>
              </w:rPr>
              <w:t>是否</w:t>
            </w:r>
            <w:r>
              <w:rPr>
                <w:rFonts w:hint="eastAsia" w:ascii="宋体" w:hAnsi="宋体" w:cs="Times New Roman"/>
                <w:sz w:val="18"/>
                <w:szCs w:val="18"/>
                <w:highlight w:val="none"/>
                <w:lang w:val="zh-CN"/>
              </w:rPr>
              <w:t>被列入经营异常名录进行审查。</w:t>
            </w:r>
          </w:p>
          <w:p w14:paraId="680B5EDA">
            <w:pPr>
              <w:widowControl/>
              <w:numPr>
                <w:ilvl w:val="0"/>
                <w:numId w:val="0"/>
              </w:numPr>
              <w:spacing w:after="0" w:line="280" w:lineRule="exact"/>
              <w:ind w:left="0" w:leftChars="0" w:firstLine="360" w:firstLineChars="200"/>
              <w:jc w:val="left"/>
              <w:rPr>
                <w:rFonts w:hint="eastAsia" w:ascii="Calibri" w:hAnsi="Calibri" w:eastAsia="宋体" w:cs="Times New Roman"/>
                <w:kern w:val="2"/>
                <w:sz w:val="21"/>
                <w:szCs w:val="22"/>
                <w:highlight w:val="none"/>
                <w:lang w:val="en-US" w:eastAsia="zh-CN" w:bidi="ar-SA"/>
              </w:rPr>
            </w:pPr>
            <w:r>
              <w:rPr>
                <w:rFonts w:hint="eastAsia" w:ascii="宋体" w:hAnsi="宋体" w:cs="Times New Roman"/>
                <w:sz w:val="18"/>
                <w:szCs w:val="18"/>
                <w:highlight w:val="none"/>
                <w:lang w:val="zh-CN"/>
              </w:rPr>
              <w:t>注：供应商曾被列入经营异常名录但已经被移除的，可以参加本次采购活动。</w:t>
            </w:r>
          </w:p>
        </w:tc>
        <w:tc>
          <w:tcPr>
            <w:tcW w:w="709" w:type="dxa"/>
            <w:noWrap w:val="0"/>
            <w:vAlign w:val="center"/>
          </w:tcPr>
          <w:p w14:paraId="6622ED2F">
            <w:pPr>
              <w:snapToGrid w:val="0"/>
              <w:spacing w:line="280" w:lineRule="exact"/>
              <w:rPr>
                <w:rFonts w:ascii="宋体" w:hAnsi="宋体"/>
                <w:sz w:val="18"/>
                <w:szCs w:val="18"/>
                <w:highlight w:val="none"/>
              </w:rPr>
            </w:pPr>
          </w:p>
        </w:tc>
      </w:tr>
      <w:tr w14:paraId="1234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0657C26A">
            <w:pPr>
              <w:snapToGrid w:val="0"/>
              <w:spacing w:line="280" w:lineRule="exac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3</w:t>
            </w:r>
          </w:p>
        </w:tc>
        <w:tc>
          <w:tcPr>
            <w:tcW w:w="2552" w:type="dxa"/>
            <w:gridSpan w:val="2"/>
            <w:noWrap w:val="0"/>
            <w:vAlign w:val="center"/>
          </w:tcPr>
          <w:p w14:paraId="49014373">
            <w:pPr>
              <w:snapToGrid w:val="0"/>
              <w:spacing w:line="280" w:lineRule="exact"/>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具有履行合同所必须的设备和专业技术能力</w:t>
            </w:r>
          </w:p>
        </w:tc>
        <w:tc>
          <w:tcPr>
            <w:tcW w:w="5386" w:type="dxa"/>
            <w:noWrap w:val="0"/>
            <w:vAlign w:val="center"/>
          </w:tcPr>
          <w:p w14:paraId="45911208">
            <w:pPr>
              <w:snapToGrid w:val="0"/>
              <w:spacing w:line="280" w:lineRule="exact"/>
              <w:ind w:firstLine="360" w:firstLineChars="200"/>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采购人对供应商履行合同所必须的设备和专业技术能力</w:t>
            </w:r>
            <w:r>
              <w:rPr>
                <w:rFonts w:hint="eastAsia" w:ascii="宋体" w:hAnsi="宋体"/>
                <w:sz w:val="18"/>
                <w:szCs w:val="18"/>
                <w:highlight w:val="none"/>
                <w:lang w:eastAsia="zh-CN"/>
              </w:rPr>
              <w:t>，</w:t>
            </w:r>
            <w:r>
              <w:rPr>
                <w:rFonts w:hint="eastAsia" w:ascii="宋体" w:hAnsi="宋体"/>
                <w:sz w:val="18"/>
                <w:szCs w:val="18"/>
                <w:highlight w:val="none"/>
              </w:rPr>
              <w:t>无特殊要求</w:t>
            </w:r>
            <w:r>
              <w:rPr>
                <w:rFonts w:hint="eastAsia" w:ascii="宋体" w:hAnsi="宋体"/>
                <w:sz w:val="18"/>
                <w:szCs w:val="18"/>
                <w:highlight w:val="none"/>
                <w:lang w:val="en-US" w:eastAsia="zh-CN"/>
              </w:rPr>
              <w:t>的</w:t>
            </w:r>
            <w:r>
              <w:rPr>
                <w:rFonts w:hint="eastAsia" w:ascii="宋体" w:hAnsi="宋体"/>
                <w:sz w:val="18"/>
                <w:szCs w:val="18"/>
                <w:highlight w:val="none"/>
              </w:rPr>
              <w:t>，供应商具有有效的营业执照或法人证书即可，可不提供其他证明材料。</w:t>
            </w:r>
          </w:p>
        </w:tc>
        <w:tc>
          <w:tcPr>
            <w:tcW w:w="709" w:type="dxa"/>
            <w:noWrap w:val="0"/>
            <w:vAlign w:val="center"/>
          </w:tcPr>
          <w:p w14:paraId="01FB2E99">
            <w:pPr>
              <w:snapToGrid w:val="0"/>
              <w:spacing w:line="280" w:lineRule="exact"/>
              <w:rPr>
                <w:rFonts w:ascii="宋体" w:hAnsi="宋体"/>
                <w:sz w:val="18"/>
                <w:szCs w:val="18"/>
                <w:highlight w:val="none"/>
              </w:rPr>
            </w:pPr>
          </w:p>
        </w:tc>
      </w:tr>
    </w:tbl>
    <w:p w14:paraId="0951EC16">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sz w:val="24"/>
        </w:rPr>
      </w:pPr>
      <w:r>
        <w:rPr>
          <w:rFonts w:hint="eastAsia" w:ascii="仿宋" w:hAnsi="仿宋" w:eastAsia="仿宋" w:cs="仿宋"/>
          <w:b/>
          <w:sz w:val="24"/>
        </w:rPr>
        <w:t>四</w:t>
      </w:r>
      <w:r>
        <w:rPr>
          <w:rFonts w:hint="eastAsia" w:ascii="仿宋" w:hAnsi="仿宋" w:eastAsia="仿宋" w:cs="仿宋"/>
          <w:bCs w:val="0"/>
        </w:rPr>
        <w:t>、</w:t>
      </w:r>
      <w:r>
        <w:rPr>
          <w:rFonts w:hint="eastAsia" w:ascii="仿宋" w:hAnsi="仿宋" w:eastAsia="仿宋" w:cs="仿宋"/>
          <w:b/>
          <w:sz w:val="24"/>
        </w:rPr>
        <w:t>初步评审</w:t>
      </w:r>
    </w:p>
    <w:p w14:paraId="2F2F8C6F">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bCs/>
          <w:sz w:val="24"/>
        </w:rPr>
      </w:pPr>
      <w:r>
        <w:rPr>
          <w:rFonts w:hint="eastAsia" w:ascii="仿宋" w:hAnsi="仿宋" w:eastAsia="仿宋" w:cs="仿宋"/>
          <w:sz w:val="24"/>
        </w:rPr>
        <w:t>4.1 初步评审主要为</w:t>
      </w:r>
      <w:r>
        <w:rPr>
          <w:rFonts w:hint="eastAsia" w:ascii="仿宋" w:hAnsi="仿宋" w:eastAsia="仿宋" w:cs="仿宋"/>
          <w:bCs/>
          <w:sz w:val="24"/>
        </w:rPr>
        <w:t>评审委员会对各</w:t>
      </w:r>
      <w:r>
        <w:rPr>
          <w:rFonts w:hint="eastAsia" w:ascii="仿宋" w:hAnsi="仿宋" w:eastAsia="仿宋" w:cs="仿宋"/>
          <w:sz w:val="24"/>
        </w:rPr>
        <w:t>比选申请文件</w:t>
      </w:r>
      <w:r>
        <w:rPr>
          <w:rFonts w:hint="eastAsia" w:ascii="仿宋" w:hAnsi="仿宋" w:eastAsia="仿宋" w:cs="仿宋"/>
          <w:bCs/>
          <w:sz w:val="24"/>
        </w:rPr>
        <w:t>是否在实质上响应了比选文件要求进行评审。</w:t>
      </w:r>
    </w:p>
    <w:p w14:paraId="701C4015">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b/>
          <w:bCs/>
          <w:sz w:val="24"/>
        </w:rPr>
      </w:pPr>
      <w:r>
        <w:rPr>
          <w:rFonts w:hint="eastAsia" w:ascii="仿宋" w:hAnsi="仿宋" w:eastAsia="仿宋" w:cs="仿宋"/>
          <w:sz w:val="24"/>
        </w:rPr>
        <w:t>4.2若比选申请文件有下表中所列任何一种情况的，则视为未能在实质上响应比选文件，属重大偏差，将不进入后续评审。</w:t>
      </w:r>
    </w:p>
    <w:p w14:paraId="03DEFF8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b/>
          <w:bCs/>
          <w:sz w:val="24"/>
        </w:rPr>
      </w:pPr>
      <w:r>
        <w:rPr>
          <w:rFonts w:hint="eastAsia" w:ascii="仿宋" w:hAnsi="仿宋" w:eastAsia="仿宋" w:cs="仿宋"/>
          <w:b/>
          <w:bCs/>
          <w:sz w:val="24"/>
        </w:rPr>
        <w:t>比选申请文件初步评审表</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754"/>
        <w:gridCol w:w="2159"/>
      </w:tblGrid>
      <w:tr w14:paraId="6E95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25" w:type="dxa"/>
            <w:tcBorders>
              <w:top w:val="single" w:color="auto" w:sz="12" w:space="0"/>
              <w:left w:val="single" w:color="auto" w:sz="12" w:space="0"/>
            </w:tcBorders>
            <w:noWrap w:val="0"/>
            <w:vAlign w:val="center"/>
          </w:tcPr>
          <w:p w14:paraId="09EF117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序号</w:t>
            </w:r>
          </w:p>
        </w:tc>
        <w:tc>
          <w:tcPr>
            <w:tcW w:w="5754" w:type="dxa"/>
            <w:tcBorders>
              <w:top w:val="single" w:color="auto" w:sz="12" w:space="0"/>
            </w:tcBorders>
            <w:noWrap w:val="0"/>
            <w:vAlign w:val="center"/>
          </w:tcPr>
          <w:p w14:paraId="532444D5">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重大偏差情况</w:t>
            </w:r>
          </w:p>
        </w:tc>
        <w:tc>
          <w:tcPr>
            <w:tcW w:w="2159" w:type="dxa"/>
            <w:tcBorders>
              <w:top w:val="single" w:color="auto" w:sz="12" w:space="0"/>
              <w:right w:val="single" w:color="auto" w:sz="12" w:space="0"/>
            </w:tcBorders>
            <w:noWrap w:val="0"/>
            <w:vAlign w:val="center"/>
          </w:tcPr>
          <w:p w14:paraId="6C5D439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hint="eastAsia" w:ascii="仿宋" w:hAnsi="仿宋" w:eastAsia="仿宋" w:cs="仿宋"/>
                <w:sz w:val="24"/>
                <w:lang w:eastAsia="zh-CN"/>
              </w:rPr>
            </w:pPr>
            <w:r>
              <w:rPr>
                <w:rFonts w:hint="eastAsia" w:ascii="仿宋" w:hAnsi="仿宋" w:eastAsia="仿宋" w:cs="仿宋"/>
                <w:sz w:val="24"/>
                <w:lang w:val="en-US" w:eastAsia="zh-CN"/>
              </w:rPr>
              <w:t>结论</w:t>
            </w:r>
          </w:p>
        </w:tc>
      </w:tr>
      <w:tr w14:paraId="63C7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25" w:type="dxa"/>
            <w:tcBorders>
              <w:left w:val="single" w:color="auto" w:sz="12" w:space="0"/>
            </w:tcBorders>
            <w:noWrap w:val="0"/>
            <w:vAlign w:val="center"/>
          </w:tcPr>
          <w:p w14:paraId="50F0FA99">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1</w:t>
            </w:r>
          </w:p>
        </w:tc>
        <w:tc>
          <w:tcPr>
            <w:tcW w:w="5754" w:type="dxa"/>
            <w:noWrap w:val="0"/>
            <w:vAlign w:val="center"/>
          </w:tcPr>
          <w:p w14:paraId="27FD29FA">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sz w:val="24"/>
              </w:rPr>
            </w:pPr>
            <w:r>
              <w:rPr>
                <w:rFonts w:hint="eastAsia" w:ascii="仿宋" w:hAnsi="仿宋" w:eastAsia="仿宋" w:cs="仿宋"/>
                <w:sz w:val="24"/>
              </w:rPr>
              <w:t>比选申请文件签字或盖章不符合比选文件要求的</w:t>
            </w:r>
          </w:p>
        </w:tc>
        <w:tc>
          <w:tcPr>
            <w:tcW w:w="2159" w:type="dxa"/>
            <w:tcBorders>
              <w:right w:val="single" w:color="auto" w:sz="12" w:space="0"/>
            </w:tcBorders>
            <w:noWrap w:val="0"/>
            <w:vAlign w:val="center"/>
          </w:tcPr>
          <w:p w14:paraId="3B876200">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122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5" w:type="dxa"/>
            <w:tcBorders>
              <w:left w:val="single" w:color="auto" w:sz="12" w:space="0"/>
            </w:tcBorders>
            <w:noWrap w:val="0"/>
            <w:vAlign w:val="center"/>
          </w:tcPr>
          <w:p w14:paraId="5890C78F">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2</w:t>
            </w:r>
          </w:p>
        </w:tc>
        <w:tc>
          <w:tcPr>
            <w:tcW w:w="5754" w:type="dxa"/>
            <w:noWrap w:val="0"/>
            <w:vAlign w:val="center"/>
          </w:tcPr>
          <w:p w14:paraId="117C83E6">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bCs/>
                <w:sz w:val="24"/>
              </w:rPr>
              <w:t>明显不符合国家有关法规、文件和标准要求的</w:t>
            </w:r>
          </w:p>
        </w:tc>
        <w:tc>
          <w:tcPr>
            <w:tcW w:w="2159" w:type="dxa"/>
            <w:tcBorders>
              <w:right w:val="single" w:color="auto" w:sz="12" w:space="0"/>
            </w:tcBorders>
            <w:noWrap w:val="0"/>
            <w:vAlign w:val="center"/>
          </w:tcPr>
          <w:p w14:paraId="0747131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385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5" w:type="dxa"/>
            <w:tcBorders>
              <w:left w:val="single" w:color="auto" w:sz="12" w:space="0"/>
            </w:tcBorders>
            <w:noWrap w:val="0"/>
            <w:vAlign w:val="center"/>
          </w:tcPr>
          <w:p w14:paraId="657CA379">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3</w:t>
            </w:r>
          </w:p>
        </w:tc>
        <w:tc>
          <w:tcPr>
            <w:tcW w:w="5754" w:type="dxa"/>
            <w:noWrap w:val="0"/>
            <w:vAlign w:val="center"/>
          </w:tcPr>
          <w:p w14:paraId="641DACB9">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sz w:val="24"/>
              </w:rPr>
            </w:pPr>
            <w:r>
              <w:rPr>
                <w:rFonts w:hint="eastAsia" w:ascii="仿宋" w:hAnsi="仿宋" w:eastAsia="仿宋" w:cs="仿宋"/>
                <w:sz w:val="24"/>
              </w:rPr>
              <w:t>比选申请文件</w:t>
            </w:r>
            <w:r>
              <w:rPr>
                <w:rFonts w:hint="eastAsia" w:ascii="仿宋" w:hAnsi="仿宋" w:eastAsia="仿宋" w:cs="仿宋"/>
                <w:bCs/>
                <w:sz w:val="24"/>
              </w:rPr>
              <w:t>内容不全或关键字迹模糊、无法辨认的</w:t>
            </w:r>
          </w:p>
        </w:tc>
        <w:tc>
          <w:tcPr>
            <w:tcW w:w="2159" w:type="dxa"/>
            <w:tcBorders>
              <w:right w:val="single" w:color="auto" w:sz="12" w:space="0"/>
            </w:tcBorders>
            <w:noWrap w:val="0"/>
            <w:vAlign w:val="center"/>
          </w:tcPr>
          <w:p w14:paraId="27AAA2BF">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1664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25" w:type="dxa"/>
            <w:tcBorders>
              <w:left w:val="single" w:color="auto" w:sz="12" w:space="0"/>
            </w:tcBorders>
            <w:noWrap w:val="0"/>
            <w:vAlign w:val="center"/>
          </w:tcPr>
          <w:p w14:paraId="7A5FEC76">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r>
              <w:rPr>
                <w:rFonts w:hint="eastAsia" w:ascii="仿宋" w:hAnsi="仿宋" w:eastAsia="仿宋" w:cs="仿宋"/>
                <w:sz w:val="24"/>
              </w:rPr>
              <w:t>4</w:t>
            </w:r>
          </w:p>
        </w:tc>
        <w:tc>
          <w:tcPr>
            <w:tcW w:w="5754" w:type="dxa"/>
            <w:noWrap w:val="0"/>
            <w:vAlign w:val="center"/>
          </w:tcPr>
          <w:p w14:paraId="2973F75D">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62" w:right="-1" w:hanging="62"/>
              <w:jc w:val="left"/>
              <w:textAlignment w:val="auto"/>
              <w:rPr>
                <w:rFonts w:ascii="仿宋" w:hAnsi="仿宋" w:eastAsia="仿宋" w:cs="仿宋"/>
                <w:sz w:val="24"/>
              </w:rPr>
            </w:pPr>
            <w:r>
              <w:rPr>
                <w:rFonts w:hint="eastAsia" w:ascii="仿宋" w:hAnsi="仿宋" w:eastAsia="仿宋" w:cs="仿宋"/>
                <w:sz w:val="24"/>
              </w:rPr>
              <w:t>比选申请文件附有比选人不能接受的条件的</w:t>
            </w:r>
          </w:p>
        </w:tc>
        <w:tc>
          <w:tcPr>
            <w:tcW w:w="2159" w:type="dxa"/>
            <w:tcBorders>
              <w:right w:val="single" w:color="auto" w:sz="12" w:space="0"/>
            </w:tcBorders>
            <w:noWrap w:val="0"/>
            <w:vAlign w:val="center"/>
          </w:tcPr>
          <w:p w14:paraId="2BFC5AB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3B95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79" w:type="dxa"/>
            <w:gridSpan w:val="2"/>
            <w:tcBorders>
              <w:left w:val="single" w:color="auto" w:sz="12" w:space="0"/>
            </w:tcBorders>
            <w:noWrap w:val="0"/>
            <w:vAlign w:val="center"/>
          </w:tcPr>
          <w:p w14:paraId="69068875">
            <w:pPr>
              <w:keepNext w:val="0"/>
              <w:keepLines w:val="0"/>
              <w:pageBreakBefore w:val="0"/>
              <w:kinsoku/>
              <w:wordWrap/>
              <w:overflowPunct/>
              <w:topLinePunct w:val="0"/>
              <w:autoSpaceDE/>
              <w:autoSpaceDN/>
              <w:bidi w:val="0"/>
              <w:spacing w:beforeAutospacing="0" w:afterAutospacing="0" w:line="580" w:lineRule="exact"/>
              <w:ind w:right="-1" w:firstLine="120"/>
              <w:jc w:val="center"/>
              <w:textAlignment w:val="auto"/>
              <w:rPr>
                <w:rFonts w:ascii="仿宋" w:hAnsi="仿宋" w:eastAsia="仿宋" w:cs="仿宋"/>
                <w:sz w:val="24"/>
              </w:rPr>
            </w:pPr>
            <w:r>
              <w:rPr>
                <w:rFonts w:hint="eastAsia" w:ascii="仿宋" w:hAnsi="仿宋" w:eastAsia="仿宋" w:cs="仿宋"/>
                <w:sz w:val="24"/>
              </w:rPr>
              <w:t>结论（应填写“</w:t>
            </w:r>
            <w:r>
              <w:rPr>
                <w:rFonts w:hint="eastAsia" w:ascii="仿宋" w:hAnsi="仿宋" w:eastAsia="仿宋" w:cs="仿宋"/>
                <w:sz w:val="24"/>
                <w:lang w:val="en-US" w:eastAsia="zh-CN"/>
              </w:rPr>
              <w:t>是</w:t>
            </w:r>
            <w:r>
              <w:rPr>
                <w:rFonts w:hint="eastAsia" w:ascii="仿宋" w:hAnsi="仿宋" w:eastAsia="仿宋" w:cs="仿宋"/>
                <w:sz w:val="24"/>
              </w:rPr>
              <w:t>”或“</w:t>
            </w:r>
            <w:r>
              <w:rPr>
                <w:rFonts w:hint="eastAsia" w:ascii="仿宋" w:hAnsi="仿宋" w:eastAsia="仿宋" w:cs="仿宋"/>
                <w:sz w:val="24"/>
                <w:lang w:val="en-US" w:eastAsia="zh-CN"/>
              </w:rPr>
              <w:t>否</w:t>
            </w:r>
            <w:r>
              <w:rPr>
                <w:rFonts w:hint="eastAsia" w:ascii="仿宋" w:hAnsi="仿宋" w:eastAsia="仿宋" w:cs="仿宋"/>
                <w:sz w:val="24"/>
              </w:rPr>
              <w:t>”）</w:t>
            </w:r>
          </w:p>
        </w:tc>
        <w:tc>
          <w:tcPr>
            <w:tcW w:w="2159" w:type="dxa"/>
            <w:tcBorders>
              <w:right w:val="single" w:color="auto" w:sz="12" w:space="0"/>
            </w:tcBorders>
            <w:noWrap w:val="0"/>
            <w:vAlign w:val="center"/>
          </w:tcPr>
          <w:p w14:paraId="24BA7D26">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sz w:val="24"/>
              </w:rPr>
            </w:pPr>
          </w:p>
        </w:tc>
      </w:tr>
      <w:tr w14:paraId="249F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38" w:type="dxa"/>
            <w:gridSpan w:val="3"/>
            <w:tcBorders>
              <w:left w:val="single" w:color="auto" w:sz="12" w:space="0"/>
              <w:right w:val="single" w:color="auto" w:sz="12" w:space="0"/>
            </w:tcBorders>
            <w:noWrap w:val="0"/>
            <w:vAlign w:val="center"/>
          </w:tcPr>
          <w:p w14:paraId="566BFB70">
            <w:pPr>
              <w:keepNext w:val="0"/>
              <w:keepLines w:val="0"/>
              <w:pageBreakBefore w:val="0"/>
              <w:kinsoku/>
              <w:wordWrap/>
              <w:overflowPunct/>
              <w:topLinePunct w:val="0"/>
              <w:autoSpaceDE/>
              <w:autoSpaceDN/>
              <w:bidi w:val="0"/>
              <w:spacing w:beforeAutospacing="0" w:afterAutospacing="0" w:line="580" w:lineRule="exact"/>
              <w:ind w:right="-1"/>
              <w:jc w:val="both"/>
              <w:textAlignment w:val="auto"/>
              <w:rPr>
                <w:rFonts w:hint="default" w:ascii="仿宋" w:hAnsi="仿宋" w:eastAsia="仿宋" w:cs="仿宋"/>
                <w:sz w:val="24"/>
                <w:lang w:val="en-US"/>
              </w:rPr>
            </w:pPr>
            <w:r>
              <w:rPr>
                <w:rFonts w:hint="eastAsia" w:ascii="仿宋" w:hAnsi="仿宋" w:eastAsia="仿宋" w:cs="仿宋"/>
                <w:sz w:val="24"/>
                <w:lang w:eastAsia="zh-CN"/>
              </w:rPr>
              <w:t>评审人员签字：</w:t>
            </w:r>
            <w:r>
              <w:rPr>
                <w:rFonts w:hint="eastAsia" w:ascii="仿宋" w:hAnsi="仿宋" w:eastAsia="仿宋" w:cs="仿宋"/>
                <w:sz w:val="24"/>
                <w:lang w:val="en-US" w:eastAsia="zh-CN"/>
              </w:rPr>
              <w:t xml:space="preserve">                                     监督人员：</w:t>
            </w:r>
          </w:p>
        </w:tc>
      </w:tr>
    </w:tbl>
    <w:p w14:paraId="3E490060">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sz w:val="24"/>
        </w:rPr>
      </w:pPr>
      <w:r>
        <w:rPr>
          <w:rFonts w:hint="eastAsia" w:ascii="仿宋" w:hAnsi="仿宋" w:eastAsia="仿宋" w:cs="仿宋"/>
          <w:sz w:val="24"/>
        </w:rPr>
        <w:t>4.3上述重大偏差之外的偏差为细微偏差。评审专家应当书面要求存在细微偏差的比选申请人在详细评审前予以补正。拒不补正的，在评分</w:t>
      </w:r>
      <w:r>
        <w:rPr>
          <w:rFonts w:hint="eastAsia" w:ascii="仿宋" w:hAnsi="仿宋" w:eastAsia="仿宋" w:cs="仿宋"/>
          <w:sz w:val="24"/>
          <w:lang w:eastAsia="zh-CN"/>
        </w:rPr>
        <w:t>比选</w:t>
      </w:r>
      <w:r>
        <w:rPr>
          <w:rFonts w:hint="eastAsia" w:ascii="仿宋" w:hAnsi="仿宋" w:eastAsia="仿宋" w:cs="仿宋"/>
          <w:sz w:val="24"/>
        </w:rPr>
        <w:t>时可以对细微偏差作不利于比选申请人的处理。有关澄清说明与答复，比选申请人应以书面形式进行，但对报价等实质性的内容不得更改。澄清问题作为比选申请文件的组成部分。</w:t>
      </w:r>
    </w:p>
    <w:p w14:paraId="5B6C4689">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hint="eastAsia" w:ascii="仿宋" w:hAnsi="仿宋" w:eastAsia="仿宋" w:cs="仿宋"/>
          <w:b/>
          <w:color w:val="auto"/>
          <w:sz w:val="24"/>
          <w:lang w:eastAsia="zh-CN"/>
        </w:rPr>
      </w:pPr>
      <w:r>
        <w:rPr>
          <w:rFonts w:hint="eastAsia" w:ascii="仿宋" w:hAnsi="仿宋" w:eastAsia="仿宋" w:cs="仿宋"/>
          <w:b/>
          <w:color w:val="auto"/>
          <w:sz w:val="24"/>
        </w:rPr>
        <w:t>五</w:t>
      </w:r>
      <w:r>
        <w:rPr>
          <w:rFonts w:hint="eastAsia" w:ascii="仿宋" w:hAnsi="仿宋" w:eastAsia="仿宋" w:cs="仿宋"/>
          <w:bCs w:val="0"/>
          <w:color w:val="auto"/>
        </w:rPr>
        <w:t>、</w:t>
      </w:r>
      <w:r>
        <w:rPr>
          <w:rFonts w:hint="eastAsia" w:ascii="仿宋" w:hAnsi="仿宋" w:eastAsia="仿宋" w:cs="仿宋"/>
          <w:b/>
          <w:color w:val="auto"/>
          <w:sz w:val="24"/>
        </w:rPr>
        <w:t>评分</w:t>
      </w:r>
      <w:r>
        <w:rPr>
          <w:rFonts w:hint="eastAsia" w:ascii="仿宋" w:hAnsi="仿宋" w:eastAsia="仿宋" w:cs="仿宋"/>
          <w:b/>
          <w:color w:val="auto"/>
          <w:sz w:val="24"/>
          <w:lang w:eastAsia="zh-CN"/>
        </w:rPr>
        <w:t>比选</w:t>
      </w:r>
    </w:p>
    <w:p w14:paraId="7F7576DB">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仿宋" w:hAnsi="仿宋" w:eastAsia="仿宋" w:cs="仿宋"/>
          <w:color w:val="auto"/>
          <w:sz w:val="24"/>
        </w:rPr>
      </w:pPr>
      <w:r>
        <w:rPr>
          <w:rFonts w:hint="eastAsia" w:ascii="仿宋" w:hAnsi="仿宋" w:eastAsia="仿宋" w:cs="仿宋"/>
          <w:sz w:val="24"/>
        </w:rPr>
        <w:t>5.1评审委员会仅对通过初步评审的比选申请文件进行量化评分。</w:t>
      </w:r>
      <w:r>
        <w:rPr>
          <w:rFonts w:hint="eastAsia" w:ascii="仿宋" w:hAnsi="仿宋" w:eastAsia="仿宋" w:cs="仿宋"/>
          <w:color w:val="auto"/>
          <w:sz w:val="24"/>
        </w:rPr>
        <w:t>当进入量化评分的比选申请人少于</w:t>
      </w:r>
      <w:r>
        <w:rPr>
          <w:rFonts w:hint="eastAsia" w:ascii="仿宋" w:hAnsi="仿宋" w:eastAsia="仿宋" w:cs="仿宋"/>
          <w:color w:val="auto"/>
          <w:sz w:val="24"/>
          <w:lang w:val="en-US" w:eastAsia="zh-CN"/>
        </w:rPr>
        <w:t>5</w:t>
      </w:r>
      <w:r>
        <w:rPr>
          <w:rFonts w:hint="eastAsia" w:ascii="仿宋" w:hAnsi="仿宋" w:eastAsia="仿宋" w:cs="仿宋"/>
          <w:color w:val="auto"/>
          <w:sz w:val="24"/>
        </w:rPr>
        <w:t>家时，评审委员会</w:t>
      </w:r>
      <w:r>
        <w:rPr>
          <w:rFonts w:hint="eastAsia" w:ascii="仿宋" w:hAnsi="仿宋" w:eastAsia="仿宋" w:cs="仿宋"/>
          <w:color w:val="auto"/>
          <w:sz w:val="24"/>
          <w:lang w:eastAsia="zh-CN"/>
        </w:rPr>
        <w:t>可终止此次</w:t>
      </w:r>
      <w:r>
        <w:rPr>
          <w:rFonts w:hint="eastAsia" w:ascii="仿宋" w:hAnsi="仿宋" w:eastAsia="仿宋" w:cs="仿宋"/>
          <w:color w:val="auto"/>
          <w:sz w:val="24"/>
        </w:rPr>
        <w:t>评审。</w:t>
      </w:r>
    </w:p>
    <w:p w14:paraId="0A770472">
      <w:pPr>
        <w:keepNext w:val="0"/>
        <w:keepLines w:val="0"/>
        <w:pageBreakBefore w:val="0"/>
        <w:kinsoku/>
        <w:wordWrap/>
        <w:overflowPunct/>
        <w:topLinePunct w:val="0"/>
        <w:autoSpaceDE/>
        <w:autoSpaceDN/>
        <w:bidi w:val="0"/>
        <w:spacing w:beforeAutospacing="0" w:afterAutospacing="0" w:line="580" w:lineRule="exact"/>
        <w:ind w:right="-1"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sz w:val="24"/>
          <w:lang w:val="en-US" w:eastAsia="zh-CN"/>
        </w:rPr>
        <w:t>5.2评审委员会对比选申请文件按以下评分标准进行评分比选，评标结果按评审后得分由高到低顺序排列；得分相同的，按投标报价由低到高顺序排列；得分且投标报价相同的并列，投标文件满足比选文件全部实质性要求且按照评审因素的量化指标评审得分最高的供应商为成交候选供应商；报价相同且满足比选文件全部实质性要求且按照评审因素的量化指标评审得分也相同的并列，由采购人自主采取公平、择优的方式选择成交供应</w:t>
      </w:r>
      <w:r>
        <w:rPr>
          <w:rFonts w:hint="eastAsia" w:ascii="仿宋" w:hAnsi="仿宋" w:eastAsia="仿宋" w:cs="仿宋"/>
          <w:color w:val="auto"/>
          <w:sz w:val="24"/>
          <w:lang w:val="en-US" w:eastAsia="zh-CN"/>
        </w:rPr>
        <w:t>商。评审委员会按排列顺序推荐3名成交候选供应商，并编写比选报告。</w:t>
      </w:r>
    </w:p>
    <w:p w14:paraId="6DF9908C">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02F6452B">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3105F4C9">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2A18FD80">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34E670A1">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6B508B14">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40798CDE">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17F976AE">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5BC61BD7">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27C292B8">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43F0849F">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p>
    <w:p w14:paraId="78EF09E3">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both"/>
        <w:textAlignment w:val="auto"/>
        <w:outlineLvl w:val="9"/>
        <w:rPr>
          <w:rFonts w:hint="eastAsia" w:ascii="方正小标宋简体" w:hAnsi="方正小标宋简体" w:eastAsia="方正小标宋简体" w:cs="方正小标宋简体"/>
          <w:sz w:val="36"/>
          <w:szCs w:val="36"/>
          <w:lang w:val="en-US" w:eastAsia="zh-CN"/>
        </w:rPr>
      </w:pPr>
    </w:p>
    <w:p w14:paraId="1FBB3CC1">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成都市青白江区中医医院集团</w:t>
      </w:r>
    </w:p>
    <w:p w14:paraId="6F6B2B49">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lang w:val="en-US" w:eastAsia="zh-CN"/>
        </w:rPr>
      </w:pPr>
      <w:r>
        <w:rPr>
          <w:rFonts w:hint="eastAsia" w:ascii="方正小标宋简体" w:hAnsi="方正小标宋简体" w:eastAsia="方正小标宋简体" w:cs="方正小标宋简体"/>
          <w:sz w:val="36"/>
          <w:szCs w:val="36"/>
          <w:lang w:val="en-US" w:eastAsia="zh-CN"/>
        </w:rPr>
        <w:t>采购项目综合评分明细表</w:t>
      </w:r>
    </w:p>
    <w:p w14:paraId="113EDFF5">
      <w:pPr>
        <w:pStyle w:val="5"/>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采购项目名称：成都市青白江区中医医院集团遴选三家招标代理机构项目</w:t>
      </w:r>
    </w:p>
    <w:p w14:paraId="2B3DC221">
      <w:pPr>
        <w:pStyle w:val="5"/>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color w:val="FF0000"/>
          <w:kern w:val="2"/>
          <w:sz w:val="24"/>
          <w:szCs w:val="24"/>
          <w:lang w:val="en-US" w:eastAsia="zh-CN" w:bidi="ar-SA"/>
        </w:rPr>
      </w:pPr>
      <w:r>
        <w:rPr>
          <w:rFonts w:hint="eastAsia" w:ascii="仿宋" w:hAnsi="仿宋" w:eastAsia="仿宋" w:cs="仿宋"/>
          <w:b w:val="0"/>
          <w:color w:val="auto"/>
          <w:kern w:val="2"/>
          <w:sz w:val="24"/>
          <w:szCs w:val="24"/>
          <w:lang w:val="en-US" w:eastAsia="zh-CN" w:bidi="ar-SA"/>
        </w:rPr>
        <w:t>项目编号：</w:t>
      </w:r>
      <w:r>
        <w:rPr>
          <w:rFonts w:hint="default" w:ascii="仿宋" w:hAnsi="仿宋" w:eastAsia="仿宋" w:cs="仿宋"/>
          <w:b w:val="0"/>
          <w:color w:val="auto"/>
          <w:kern w:val="2"/>
          <w:sz w:val="24"/>
          <w:szCs w:val="24"/>
          <w:lang w:val="en-US" w:eastAsia="zh-CN" w:bidi="ar-SA"/>
        </w:rPr>
        <w:t>202</w:t>
      </w:r>
      <w:r>
        <w:rPr>
          <w:rFonts w:hint="eastAsia" w:ascii="仿宋" w:hAnsi="仿宋" w:eastAsia="仿宋" w:cs="仿宋"/>
          <w:b w:val="0"/>
          <w:color w:val="auto"/>
          <w:kern w:val="2"/>
          <w:sz w:val="24"/>
          <w:szCs w:val="24"/>
          <w:lang w:val="en-US" w:eastAsia="zh-CN" w:bidi="ar-SA"/>
        </w:rPr>
        <w:t>60</w:t>
      </w:r>
      <w:r>
        <w:rPr>
          <w:rFonts w:hint="eastAsia" w:ascii="仿宋" w:hAnsi="仿宋" w:eastAsia="仿宋" w:cs="仿宋"/>
          <w:b w:val="0"/>
          <w:kern w:val="2"/>
          <w:sz w:val="24"/>
          <w:szCs w:val="24"/>
          <w:lang w:val="en-US" w:eastAsia="zh-CN" w:bidi="ar-SA"/>
        </w:rPr>
        <w:t>5</w:t>
      </w:r>
      <w:r>
        <w:rPr>
          <w:rFonts w:hint="default" w:ascii="仿宋" w:hAnsi="仿宋" w:eastAsia="仿宋" w:cs="仿宋"/>
          <w:b w:val="0"/>
          <w:kern w:val="2"/>
          <w:sz w:val="24"/>
          <w:szCs w:val="24"/>
          <w:lang w:val="en-US" w:eastAsia="zh-CN" w:bidi="ar-SA"/>
        </w:rPr>
        <w:t>-1</w:t>
      </w:r>
      <w:r>
        <w:rPr>
          <w:rFonts w:hint="eastAsia" w:ascii="仿宋" w:hAnsi="仿宋" w:eastAsia="仿宋" w:cs="仿宋"/>
          <w:b w:val="0"/>
          <w:kern w:val="2"/>
          <w:sz w:val="24"/>
          <w:szCs w:val="24"/>
          <w:lang w:val="en-US" w:eastAsia="zh-CN" w:bidi="ar-SA"/>
        </w:rPr>
        <w:t>号</w:t>
      </w:r>
    </w:p>
    <w:p w14:paraId="351A548C">
      <w:pPr>
        <w:rPr>
          <w:rFonts w:hint="default"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时间：</w:t>
      </w:r>
      <w:r>
        <w:rPr>
          <w:rFonts w:hint="default" w:ascii="仿宋" w:hAnsi="仿宋" w:eastAsia="仿宋" w:cs="仿宋"/>
          <w:b w:val="0"/>
          <w:kern w:val="2"/>
          <w:sz w:val="24"/>
          <w:szCs w:val="24"/>
          <w:lang w:val="en-US" w:eastAsia="zh-CN" w:bidi="ar-SA"/>
        </w:rPr>
        <w:t xml:space="preserve">                                         </w:t>
      </w:r>
      <w:r>
        <w:rPr>
          <w:rFonts w:hint="eastAsia" w:ascii="仿宋" w:hAnsi="仿宋" w:eastAsia="仿宋" w:cs="仿宋"/>
          <w:b w:val="0"/>
          <w:kern w:val="2"/>
          <w:sz w:val="24"/>
          <w:szCs w:val="24"/>
          <w:lang w:val="en-US" w:eastAsia="zh-CN" w:bidi="ar-SA"/>
        </w:rPr>
        <w:t>评分人：</w:t>
      </w:r>
    </w:p>
    <w:tbl>
      <w:tblPr>
        <w:tblStyle w:val="11"/>
        <w:tblW w:w="8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5"/>
        <w:gridCol w:w="1054"/>
        <w:gridCol w:w="735"/>
        <w:gridCol w:w="5640"/>
        <w:gridCol w:w="786"/>
      </w:tblGrid>
      <w:tr w14:paraId="0F422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A594CFC">
            <w:pPr>
              <w:spacing w:beforeLines="10" w:afterLines="10" w:line="360" w:lineRule="auto"/>
              <w:ind w:firstLine="28"/>
              <w:jc w:val="center"/>
              <w:rPr>
                <w:rFonts w:ascii="宋体" w:hAnsi="宋体" w:cs="宋体"/>
                <w:b/>
                <w:bCs/>
                <w:sz w:val="24"/>
                <w:highlight w:val="none"/>
              </w:rPr>
            </w:pPr>
            <w:r>
              <w:rPr>
                <w:rFonts w:hint="eastAsia" w:ascii="宋体" w:hAnsi="宋体" w:cs="宋体"/>
                <w:b/>
                <w:bCs/>
                <w:sz w:val="24"/>
                <w:highlight w:val="none"/>
              </w:rPr>
              <w:t>序号</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5F2BFE52">
            <w:pPr>
              <w:spacing w:beforeLines="10" w:afterLines="10" w:line="360" w:lineRule="auto"/>
              <w:ind w:right="-67" w:rightChars="-32" w:firstLine="28"/>
              <w:jc w:val="center"/>
              <w:rPr>
                <w:rFonts w:ascii="宋体" w:hAnsi="宋体" w:cs="宋体"/>
                <w:b/>
                <w:bCs/>
                <w:sz w:val="24"/>
                <w:highlight w:val="none"/>
              </w:rPr>
            </w:pPr>
            <w:r>
              <w:rPr>
                <w:rFonts w:hint="eastAsia" w:ascii="宋体" w:hAnsi="宋体" w:cs="宋体"/>
                <w:b/>
                <w:bCs/>
                <w:sz w:val="24"/>
                <w:highlight w:val="none"/>
              </w:rPr>
              <w:t>评分因素及权重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DFE2D64">
            <w:pPr>
              <w:spacing w:beforeLines="10" w:afterLines="10" w:line="360" w:lineRule="auto"/>
              <w:ind w:left="-60" w:right="-107" w:hanging="62"/>
              <w:jc w:val="center"/>
              <w:rPr>
                <w:rFonts w:ascii="宋体" w:hAnsi="宋体" w:cs="宋体"/>
                <w:b/>
                <w:bCs/>
                <w:sz w:val="24"/>
                <w:highlight w:val="none"/>
              </w:rPr>
            </w:pPr>
            <w:r>
              <w:rPr>
                <w:rFonts w:hint="eastAsia" w:ascii="宋体" w:hAnsi="宋体" w:cs="宋体"/>
                <w:b/>
                <w:bCs/>
                <w:sz w:val="24"/>
                <w:highlight w:val="none"/>
              </w:rPr>
              <w:t>分值</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205B05C5">
            <w:pPr>
              <w:spacing w:beforeLines="10" w:afterLines="10" w:line="360" w:lineRule="auto"/>
              <w:ind w:right="231" w:firstLine="28"/>
              <w:jc w:val="center"/>
              <w:rPr>
                <w:rFonts w:ascii="宋体" w:hAnsi="宋体" w:cs="宋体"/>
                <w:b/>
                <w:bCs/>
                <w:sz w:val="24"/>
                <w:highlight w:val="none"/>
              </w:rPr>
            </w:pPr>
            <w:r>
              <w:rPr>
                <w:rFonts w:hint="eastAsia" w:ascii="宋体" w:hAnsi="宋体" w:cs="宋体"/>
                <w:b/>
                <w:bCs/>
                <w:sz w:val="24"/>
                <w:highlight w:val="none"/>
              </w:rPr>
              <w:t>评分标准</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4B49C231">
            <w:pPr>
              <w:spacing w:beforeLines="10" w:afterLines="10" w:line="360" w:lineRule="auto"/>
              <w:ind w:right="231" w:firstLine="28"/>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得分</w:t>
            </w:r>
          </w:p>
        </w:tc>
      </w:tr>
      <w:tr w14:paraId="17CFC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485" w:type="dxa"/>
            <w:tcBorders>
              <w:top w:val="single" w:color="auto" w:sz="4" w:space="0"/>
              <w:left w:val="single" w:color="auto" w:sz="4" w:space="0"/>
              <w:right w:val="single" w:color="auto" w:sz="4" w:space="0"/>
            </w:tcBorders>
            <w:noWrap w:val="0"/>
            <w:vAlign w:val="center"/>
          </w:tcPr>
          <w:p w14:paraId="2AECE586">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default" w:ascii="Times New Roman" w:hAnsi="Times New Roman" w:cs="Times New Roman"/>
                <w:sz w:val="20"/>
                <w:szCs w:val="20"/>
                <w:highlight w:val="none"/>
                <w:lang w:val="en-US"/>
              </w:rPr>
              <w:t>1</w:t>
            </w:r>
          </w:p>
        </w:tc>
        <w:tc>
          <w:tcPr>
            <w:tcW w:w="1054" w:type="dxa"/>
            <w:tcBorders>
              <w:top w:val="single" w:color="auto" w:sz="4" w:space="0"/>
              <w:left w:val="single" w:color="auto" w:sz="4" w:space="0"/>
              <w:right w:val="single" w:color="auto" w:sz="4" w:space="0"/>
            </w:tcBorders>
            <w:noWrap w:val="0"/>
            <w:vAlign w:val="center"/>
          </w:tcPr>
          <w:p w14:paraId="25926A2B">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lang w:val="en-US" w:eastAsia="zh-CN"/>
              </w:rPr>
              <w:t>企业综合实力</w:t>
            </w:r>
          </w:p>
        </w:tc>
        <w:tc>
          <w:tcPr>
            <w:tcW w:w="735" w:type="dxa"/>
            <w:tcBorders>
              <w:top w:val="single" w:color="auto" w:sz="4" w:space="0"/>
              <w:left w:val="single" w:color="auto" w:sz="4" w:space="0"/>
              <w:right w:val="single" w:color="auto" w:sz="4" w:space="0"/>
            </w:tcBorders>
            <w:noWrap w:val="0"/>
            <w:vAlign w:val="center"/>
          </w:tcPr>
          <w:p w14:paraId="19D9AB92">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jc w:val="center"/>
              <w:textAlignment w:val="auto"/>
              <w:rPr>
                <w:rFonts w:hint="default" w:ascii="Times New Roman" w:hAnsi="Times New Roman" w:eastAsia="宋体" w:cs="Times New Roman"/>
                <w:sz w:val="20"/>
                <w:szCs w:val="20"/>
                <w:highlight w:val="none"/>
              </w:rPr>
            </w:pPr>
            <w:r>
              <w:rPr>
                <w:rFonts w:hint="eastAsia" w:ascii="Times New Roman" w:hAnsi="Times New Roman" w:cs="Times New Roman"/>
                <w:sz w:val="20"/>
                <w:szCs w:val="20"/>
                <w:highlight w:val="none"/>
                <w:lang w:val="en-US" w:eastAsia="zh-CN"/>
              </w:rPr>
              <w:t>24</w:t>
            </w:r>
            <w:r>
              <w:rPr>
                <w:rFonts w:hint="eastAsia" w:ascii="Times New Roman" w:hAnsi="Times New Roman" w:eastAsia="宋体" w:cs="Times New Roman"/>
                <w:sz w:val="20"/>
                <w:szCs w:val="20"/>
                <w:highlight w:val="none"/>
              </w:rPr>
              <w:t>分</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513F7D8F">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1、代理机构在成都</w:t>
            </w:r>
            <w:r>
              <w:rPr>
                <w:rFonts w:hint="eastAsia" w:ascii="Times New Roman" w:hAnsi="Times New Roman" w:cs="Times New Roman"/>
                <w:sz w:val="20"/>
                <w:szCs w:val="20"/>
                <w:highlight w:val="none"/>
                <w:lang w:val="en-US" w:eastAsia="zh-CN"/>
              </w:rPr>
              <w:t>市</w:t>
            </w:r>
            <w:r>
              <w:rPr>
                <w:rFonts w:hint="eastAsia" w:ascii="Times New Roman" w:hAnsi="Times New Roman" w:eastAsia="宋体" w:cs="Times New Roman"/>
                <w:sz w:val="20"/>
                <w:szCs w:val="20"/>
                <w:highlight w:val="none"/>
                <w:lang w:eastAsia="zh-CN"/>
              </w:rPr>
              <w:t>设立</w:t>
            </w:r>
            <w:r>
              <w:rPr>
                <w:rFonts w:hint="eastAsia" w:ascii="Times New Roman" w:hAnsi="Times New Roman" w:cs="Times New Roman"/>
                <w:sz w:val="20"/>
                <w:szCs w:val="20"/>
                <w:highlight w:val="none"/>
                <w:lang w:val="en-US" w:eastAsia="zh-CN"/>
              </w:rPr>
              <w:t>有办公和开评标</w:t>
            </w:r>
            <w:r>
              <w:rPr>
                <w:rFonts w:hint="eastAsia" w:ascii="Times New Roman" w:hAnsi="Times New Roman" w:eastAsia="宋体" w:cs="Times New Roman"/>
                <w:sz w:val="20"/>
                <w:szCs w:val="20"/>
                <w:highlight w:val="none"/>
                <w:lang w:eastAsia="zh-CN"/>
              </w:rPr>
              <w:t>场地</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场所</w:t>
            </w:r>
            <w:r>
              <w:rPr>
                <w:rFonts w:hint="eastAsia" w:ascii="Times New Roman" w:hAnsi="Times New Roman" w:eastAsia="宋体" w:cs="Times New Roman"/>
                <w:sz w:val="20"/>
                <w:szCs w:val="20"/>
                <w:highlight w:val="none"/>
                <w:lang w:val="en-US" w:eastAsia="zh-CN"/>
              </w:rPr>
              <w:t>总面积</w:t>
            </w:r>
            <w:r>
              <w:rPr>
                <w:rFonts w:hint="eastAsia" w:ascii="Times New Roman" w:hAnsi="Times New Roman" w:cs="Times New Roman"/>
                <w:sz w:val="20"/>
                <w:szCs w:val="20"/>
                <w:highlight w:val="none"/>
                <w:lang w:val="en-US" w:eastAsia="zh-CN"/>
              </w:rPr>
              <w:t>≥3</w:t>
            </w:r>
            <w:r>
              <w:rPr>
                <w:rFonts w:hint="eastAsia" w:ascii="Times New Roman" w:hAnsi="Times New Roman" w:eastAsia="宋体" w:cs="Times New Roman"/>
                <w:sz w:val="20"/>
                <w:szCs w:val="20"/>
                <w:highlight w:val="none"/>
                <w:lang w:val="en-US" w:eastAsia="zh-CN"/>
              </w:rPr>
              <w:t>00m</w:t>
            </w:r>
            <w:r>
              <w:rPr>
                <w:rFonts w:hint="eastAsia" w:ascii="Times New Roman" w:hAnsi="Times New Roman" w:eastAsia="宋体" w:cs="Times New Roman"/>
                <w:sz w:val="20"/>
                <w:szCs w:val="20"/>
                <w:highlight w:val="none"/>
                <w:vertAlign w:val="superscript"/>
                <w:lang w:val="en-US" w:eastAsia="zh-CN"/>
              </w:rPr>
              <w:t>2</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lang w:val="en-US" w:eastAsia="zh-CN"/>
              </w:rPr>
              <w:t>00m</w:t>
            </w:r>
            <w:r>
              <w:rPr>
                <w:rFonts w:hint="eastAsia" w:ascii="Times New Roman" w:hAnsi="Times New Roman" w:eastAsia="宋体" w:cs="Times New Roman"/>
                <w:sz w:val="20"/>
                <w:szCs w:val="20"/>
                <w:highlight w:val="none"/>
                <w:vertAlign w:val="superscript"/>
                <w:lang w:val="en-US" w:eastAsia="zh-CN"/>
              </w:rPr>
              <w:t>2</w:t>
            </w:r>
            <w:r>
              <w:rPr>
                <w:rFonts w:hint="eastAsia" w:ascii="Times New Roman" w:hAnsi="Times New Roman" w:eastAsia="宋体" w:cs="Times New Roman"/>
                <w:sz w:val="20"/>
                <w:szCs w:val="20"/>
                <w:highlight w:val="none"/>
              </w:rPr>
              <w:t>的得</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rPr>
              <w:t>分</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场所</w:t>
            </w:r>
            <w:r>
              <w:rPr>
                <w:rFonts w:hint="eastAsia" w:ascii="Times New Roman" w:hAnsi="Times New Roman" w:eastAsia="宋体" w:cs="Times New Roman"/>
                <w:sz w:val="20"/>
                <w:szCs w:val="20"/>
                <w:highlight w:val="none"/>
                <w:lang w:val="en-US" w:eastAsia="zh-CN"/>
              </w:rPr>
              <w:t>总面积</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lang w:val="en-US" w:eastAsia="zh-CN"/>
              </w:rPr>
              <w:t>00m</w:t>
            </w:r>
            <w:r>
              <w:rPr>
                <w:rFonts w:hint="eastAsia" w:ascii="Times New Roman" w:hAnsi="Times New Roman" w:eastAsia="宋体" w:cs="Times New Roman"/>
                <w:sz w:val="20"/>
                <w:szCs w:val="20"/>
                <w:highlight w:val="none"/>
                <w:vertAlign w:val="superscript"/>
                <w:lang w:val="en-US" w:eastAsia="zh-CN"/>
              </w:rPr>
              <w:t>2</w:t>
            </w:r>
            <w:r>
              <w:rPr>
                <w:rFonts w:hint="eastAsia" w:ascii="Times New Roman" w:hAnsi="Times New Roman" w:cs="Times New Roman"/>
                <w:sz w:val="20"/>
                <w:szCs w:val="20"/>
                <w:highlight w:val="none"/>
                <w:lang w:val="en-US" w:eastAsia="zh-CN"/>
              </w:rPr>
              <w:t>＜6</w:t>
            </w:r>
            <w:r>
              <w:rPr>
                <w:rFonts w:hint="eastAsia" w:ascii="Times New Roman" w:hAnsi="Times New Roman" w:eastAsia="宋体" w:cs="Times New Roman"/>
                <w:sz w:val="20"/>
                <w:szCs w:val="20"/>
                <w:highlight w:val="none"/>
                <w:lang w:val="en-US" w:eastAsia="zh-CN"/>
              </w:rPr>
              <w:t>00m</w:t>
            </w:r>
            <w:r>
              <w:rPr>
                <w:rFonts w:hint="eastAsia" w:ascii="Times New Roman" w:hAnsi="Times New Roman" w:eastAsia="宋体" w:cs="Times New Roman"/>
                <w:sz w:val="20"/>
                <w:szCs w:val="20"/>
                <w:highlight w:val="none"/>
                <w:vertAlign w:val="superscript"/>
                <w:lang w:val="en-US" w:eastAsia="zh-CN"/>
              </w:rPr>
              <w:t>2</w:t>
            </w:r>
            <w:r>
              <w:rPr>
                <w:rFonts w:hint="eastAsia" w:ascii="Times New Roman" w:hAnsi="Times New Roman" w:eastAsia="宋体" w:cs="Times New Roman"/>
                <w:sz w:val="20"/>
                <w:szCs w:val="20"/>
                <w:highlight w:val="none"/>
              </w:rPr>
              <w:t>的得</w:t>
            </w:r>
            <w:r>
              <w:rPr>
                <w:rFonts w:hint="eastAsia" w:ascii="Times New Roman" w:hAnsi="Times New Roman" w:cs="Times New Roman"/>
                <w:sz w:val="20"/>
                <w:szCs w:val="20"/>
                <w:highlight w:val="none"/>
                <w:lang w:val="en-US" w:eastAsia="zh-CN"/>
              </w:rPr>
              <w:t>6</w:t>
            </w:r>
            <w:r>
              <w:rPr>
                <w:rFonts w:hint="eastAsia" w:ascii="Times New Roman" w:hAnsi="Times New Roman" w:eastAsia="宋体" w:cs="Times New Roman"/>
                <w:sz w:val="20"/>
                <w:szCs w:val="20"/>
                <w:highlight w:val="none"/>
              </w:rPr>
              <w:t>分</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场所</w:t>
            </w:r>
            <w:r>
              <w:rPr>
                <w:rFonts w:hint="eastAsia" w:ascii="Times New Roman" w:hAnsi="Times New Roman" w:eastAsia="宋体" w:cs="Times New Roman"/>
                <w:sz w:val="20"/>
                <w:szCs w:val="20"/>
                <w:highlight w:val="none"/>
                <w:lang w:val="en-US" w:eastAsia="zh-CN"/>
              </w:rPr>
              <w:t>总面积</w:t>
            </w:r>
            <w:r>
              <w:rPr>
                <w:rFonts w:hint="eastAsia" w:ascii="Times New Roman" w:hAnsi="Times New Roman" w:cs="Times New Roman"/>
                <w:sz w:val="20"/>
                <w:szCs w:val="20"/>
                <w:highlight w:val="none"/>
                <w:lang w:val="en-US" w:eastAsia="zh-CN"/>
              </w:rPr>
              <w:t>≥6</w:t>
            </w:r>
            <w:r>
              <w:rPr>
                <w:rFonts w:hint="eastAsia" w:ascii="Times New Roman" w:hAnsi="Times New Roman" w:eastAsia="宋体" w:cs="Times New Roman"/>
                <w:sz w:val="20"/>
                <w:szCs w:val="20"/>
                <w:highlight w:val="none"/>
                <w:lang w:val="en-US" w:eastAsia="zh-CN"/>
              </w:rPr>
              <w:t>00m</w:t>
            </w:r>
            <w:r>
              <w:rPr>
                <w:rFonts w:hint="eastAsia" w:ascii="Times New Roman" w:hAnsi="Times New Roman" w:eastAsia="宋体" w:cs="Times New Roman"/>
                <w:sz w:val="20"/>
                <w:szCs w:val="20"/>
                <w:highlight w:val="none"/>
                <w:vertAlign w:val="superscript"/>
                <w:lang w:val="en-US" w:eastAsia="zh-CN"/>
              </w:rPr>
              <w:t>2</w:t>
            </w:r>
            <w:r>
              <w:rPr>
                <w:rFonts w:hint="eastAsia" w:ascii="Times New Roman" w:hAnsi="Times New Roman" w:eastAsia="宋体" w:cs="Times New Roman"/>
                <w:sz w:val="20"/>
                <w:szCs w:val="20"/>
                <w:highlight w:val="none"/>
                <w:lang w:val="en-US" w:eastAsia="zh-CN"/>
              </w:rPr>
              <w:t>的得</w:t>
            </w:r>
            <w:r>
              <w:rPr>
                <w:rFonts w:hint="eastAsia" w:ascii="Times New Roman" w:hAnsi="Times New Roman" w:cs="Times New Roman"/>
                <w:sz w:val="20"/>
                <w:szCs w:val="20"/>
                <w:highlight w:val="none"/>
                <w:lang w:val="en-US" w:eastAsia="zh-CN"/>
              </w:rPr>
              <w:t>8</w:t>
            </w:r>
            <w:r>
              <w:rPr>
                <w:rFonts w:hint="eastAsia" w:ascii="Times New Roman" w:hAnsi="Times New Roman" w:eastAsia="宋体" w:cs="Times New Roman"/>
                <w:sz w:val="20"/>
                <w:szCs w:val="20"/>
                <w:highlight w:val="none"/>
                <w:lang w:val="en-US" w:eastAsia="zh-CN"/>
              </w:rPr>
              <w:t>分。其余不得分。</w:t>
            </w:r>
          </w:p>
          <w:p w14:paraId="6D451DB0">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（提供</w:t>
            </w:r>
            <w:r>
              <w:rPr>
                <w:rFonts w:hint="eastAsia" w:ascii="Times New Roman" w:hAnsi="Times New Roman" w:eastAsia="宋体" w:cs="Times New Roman"/>
                <w:sz w:val="20"/>
                <w:szCs w:val="20"/>
                <w:highlight w:val="none"/>
                <w:lang w:val="en-US" w:eastAsia="zh-CN"/>
              </w:rPr>
              <w:t>房屋租赁合同或</w:t>
            </w:r>
            <w:r>
              <w:rPr>
                <w:rFonts w:hint="eastAsia" w:ascii="Times New Roman" w:hAnsi="Times New Roman" w:cs="Times New Roman"/>
                <w:sz w:val="20"/>
                <w:szCs w:val="20"/>
                <w:highlight w:val="none"/>
                <w:lang w:val="en-US" w:eastAsia="zh-CN"/>
              </w:rPr>
              <w:t>不动产权证</w:t>
            </w:r>
            <w:r>
              <w:rPr>
                <w:rFonts w:hint="eastAsia" w:ascii="Times New Roman" w:hAnsi="Times New Roman" w:eastAsia="宋体" w:cs="Times New Roman"/>
                <w:sz w:val="20"/>
                <w:szCs w:val="20"/>
                <w:highlight w:val="none"/>
                <w:lang w:val="en-US" w:eastAsia="zh-CN"/>
              </w:rPr>
              <w:t>复印件加盖鲜章，实际面积以房屋租赁合同或</w:t>
            </w:r>
            <w:r>
              <w:rPr>
                <w:rFonts w:hint="eastAsia" w:ascii="Times New Roman" w:hAnsi="Times New Roman" w:cs="Times New Roman"/>
                <w:sz w:val="20"/>
                <w:szCs w:val="20"/>
                <w:highlight w:val="none"/>
                <w:lang w:val="en-US" w:eastAsia="zh-CN"/>
              </w:rPr>
              <w:t>不动产权证</w:t>
            </w:r>
            <w:r>
              <w:rPr>
                <w:rFonts w:hint="eastAsia" w:ascii="Times New Roman" w:hAnsi="Times New Roman" w:eastAsia="宋体" w:cs="Times New Roman"/>
                <w:sz w:val="20"/>
                <w:szCs w:val="20"/>
                <w:highlight w:val="none"/>
                <w:lang w:val="en-US" w:eastAsia="zh-CN"/>
              </w:rPr>
              <w:t>为准</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rPr>
              <w:t>）</w:t>
            </w:r>
          </w:p>
          <w:p w14:paraId="503B1546">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kern w:val="0"/>
                <w:sz w:val="20"/>
                <w:szCs w:val="20"/>
                <w:highlight w:val="none"/>
                <w:lang w:val="en-US" w:eastAsia="zh-CN" w:bidi="ar-SA"/>
              </w:rPr>
              <w:t>2、有全程监控录像独立的开标室，1个得</w:t>
            </w:r>
            <w:r>
              <w:rPr>
                <w:rFonts w:hint="eastAsia" w:ascii="Times New Roman" w:hAnsi="Times New Roman" w:cs="Times New Roman"/>
                <w:kern w:val="0"/>
                <w:sz w:val="20"/>
                <w:szCs w:val="20"/>
                <w:highlight w:val="none"/>
                <w:lang w:val="en-US" w:eastAsia="zh-CN" w:bidi="ar-SA"/>
              </w:rPr>
              <w:t>2</w:t>
            </w:r>
            <w:r>
              <w:rPr>
                <w:rFonts w:hint="eastAsia" w:ascii="Times New Roman" w:hAnsi="Times New Roman" w:eastAsia="宋体" w:cs="Times New Roman"/>
                <w:kern w:val="0"/>
                <w:sz w:val="20"/>
                <w:szCs w:val="20"/>
                <w:highlight w:val="none"/>
                <w:lang w:val="en-US" w:eastAsia="zh-CN" w:bidi="ar-SA"/>
              </w:rPr>
              <w:t>分，最多得</w:t>
            </w:r>
            <w:r>
              <w:rPr>
                <w:rFonts w:hint="eastAsia" w:ascii="Times New Roman" w:hAnsi="Times New Roman" w:cs="Times New Roman"/>
                <w:kern w:val="0"/>
                <w:sz w:val="20"/>
                <w:szCs w:val="20"/>
                <w:highlight w:val="none"/>
                <w:lang w:val="en-US" w:eastAsia="zh-CN" w:bidi="ar-SA"/>
              </w:rPr>
              <w:t>4</w:t>
            </w:r>
            <w:r>
              <w:rPr>
                <w:rFonts w:hint="eastAsia" w:ascii="Times New Roman" w:hAnsi="Times New Roman" w:eastAsia="宋体" w:cs="Times New Roman"/>
                <w:kern w:val="0"/>
                <w:sz w:val="20"/>
                <w:szCs w:val="20"/>
                <w:highlight w:val="none"/>
                <w:lang w:val="en-US" w:eastAsia="zh-CN" w:bidi="ar-SA"/>
              </w:rPr>
              <w:t>分。</w:t>
            </w:r>
          </w:p>
          <w:p w14:paraId="7C9BDBD3">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kern w:val="0"/>
                <w:sz w:val="20"/>
                <w:szCs w:val="20"/>
                <w:highlight w:val="none"/>
                <w:lang w:val="en-US" w:eastAsia="zh-CN" w:bidi="ar-SA"/>
              </w:rPr>
              <w:t>3、有全程监控录像独立的评标室，1个得</w:t>
            </w:r>
            <w:r>
              <w:rPr>
                <w:rFonts w:hint="eastAsia" w:ascii="Times New Roman" w:hAnsi="Times New Roman" w:cs="Times New Roman"/>
                <w:kern w:val="0"/>
                <w:sz w:val="20"/>
                <w:szCs w:val="20"/>
                <w:highlight w:val="none"/>
                <w:lang w:val="en-US" w:eastAsia="zh-CN" w:bidi="ar-SA"/>
              </w:rPr>
              <w:t>2</w:t>
            </w:r>
            <w:r>
              <w:rPr>
                <w:rFonts w:hint="eastAsia" w:ascii="Times New Roman" w:hAnsi="Times New Roman" w:eastAsia="宋体" w:cs="Times New Roman"/>
                <w:kern w:val="0"/>
                <w:sz w:val="20"/>
                <w:szCs w:val="20"/>
                <w:highlight w:val="none"/>
                <w:lang w:val="en-US" w:eastAsia="zh-CN" w:bidi="ar-SA"/>
              </w:rPr>
              <w:t>分，最多得</w:t>
            </w:r>
            <w:r>
              <w:rPr>
                <w:rFonts w:hint="eastAsia" w:ascii="Times New Roman" w:hAnsi="Times New Roman" w:cs="Times New Roman"/>
                <w:kern w:val="0"/>
                <w:sz w:val="20"/>
                <w:szCs w:val="20"/>
                <w:highlight w:val="none"/>
                <w:lang w:val="en-US" w:eastAsia="zh-CN" w:bidi="ar-SA"/>
              </w:rPr>
              <w:t>6</w:t>
            </w:r>
            <w:r>
              <w:rPr>
                <w:rFonts w:hint="eastAsia" w:ascii="Times New Roman" w:hAnsi="Times New Roman" w:eastAsia="宋体" w:cs="Times New Roman"/>
                <w:kern w:val="0"/>
                <w:sz w:val="20"/>
                <w:szCs w:val="20"/>
                <w:highlight w:val="none"/>
                <w:lang w:val="en-US" w:eastAsia="zh-CN" w:bidi="ar-SA"/>
              </w:rPr>
              <w:t>分。</w:t>
            </w:r>
          </w:p>
          <w:p w14:paraId="5609F7FA">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kern w:val="0"/>
                <w:sz w:val="20"/>
                <w:szCs w:val="20"/>
                <w:highlight w:val="none"/>
                <w:lang w:val="en-US" w:eastAsia="zh-CN" w:bidi="ar-SA"/>
              </w:rPr>
              <w:t>4、具有独立监督室，1个得</w:t>
            </w:r>
            <w:r>
              <w:rPr>
                <w:rFonts w:hint="eastAsia" w:ascii="Times New Roman" w:hAnsi="Times New Roman" w:cs="Times New Roman"/>
                <w:kern w:val="0"/>
                <w:sz w:val="20"/>
                <w:szCs w:val="20"/>
                <w:highlight w:val="none"/>
                <w:lang w:val="en-US" w:eastAsia="zh-CN" w:bidi="ar-SA"/>
              </w:rPr>
              <w:t>2</w:t>
            </w:r>
            <w:r>
              <w:rPr>
                <w:rFonts w:hint="eastAsia" w:ascii="Times New Roman" w:hAnsi="Times New Roman" w:eastAsia="宋体" w:cs="Times New Roman"/>
                <w:kern w:val="0"/>
                <w:sz w:val="20"/>
                <w:szCs w:val="20"/>
                <w:highlight w:val="none"/>
                <w:lang w:val="en-US" w:eastAsia="zh-CN" w:bidi="ar-SA"/>
              </w:rPr>
              <w:t>分，最多得</w:t>
            </w:r>
            <w:r>
              <w:rPr>
                <w:rFonts w:hint="eastAsia" w:ascii="Times New Roman" w:hAnsi="Times New Roman" w:cs="Times New Roman"/>
                <w:kern w:val="0"/>
                <w:sz w:val="20"/>
                <w:szCs w:val="20"/>
                <w:highlight w:val="none"/>
                <w:lang w:val="en-US" w:eastAsia="zh-CN" w:bidi="ar-SA"/>
              </w:rPr>
              <w:t>6</w:t>
            </w:r>
            <w:r>
              <w:rPr>
                <w:rFonts w:hint="eastAsia" w:ascii="Times New Roman" w:hAnsi="Times New Roman" w:eastAsia="宋体" w:cs="Times New Roman"/>
                <w:kern w:val="0"/>
                <w:sz w:val="20"/>
                <w:szCs w:val="20"/>
                <w:highlight w:val="none"/>
                <w:lang w:val="en-US" w:eastAsia="zh-CN" w:bidi="ar-SA"/>
              </w:rPr>
              <w:t>分。</w:t>
            </w:r>
          </w:p>
          <w:p w14:paraId="0D0068C2">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sz w:val="20"/>
                <w:szCs w:val="20"/>
                <w:highlight w:val="none"/>
                <w:lang w:val="en-US" w:eastAsia="zh-CN"/>
              </w:rPr>
            </w:pP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rPr>
              <w:t>2-</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rPr>
              <w:t>项提供</w:t>
            </w:r>
            <w:r>
              <w:rPr>
                <w:rFonts w:hint="eastAsia" w:ascii="Times New Roman" w:hAnsi="Times New Roman" w:cs="Times New Roman"/>
                <w:sz w:val="20"/>
                <w:szCs w:val="20"/>
                <w:highlight w:val="none"/>
                <w:lang w:val="en-US" w:eastAsia="zh-CN"/>
              </w:rPr>
              <w:t>现场</w:t>
            </w:r>
            <w:r>
              <w:rPr>
                <w:rFonts w:hint="eastAsia" w:ascii="Times New Roman" w:hAnsi="Times New Roman" w:eastAsia="宋体" w:cs="Times New Roman"/>
                <w:sz w:val="20"/>
                <w:szCs w:val="20"/>
                <w:highlight w:val="none"/>
              </w:rPr>
              <w:t>照片（包含标识牌照片</w:t>
            </w:r>
            <w:r>
              <w:rPr>
                <w:rFonts w:hint="eastAsia" w:ascii="Times New Roman" w:hAnsi="Times New Roman" w:eastAsia="宋体" w:cs="Times New Roman"/>
                <w:sz w:val="20"/>
                <w:szCs w:val="20"/>
                <w:highlight w:val="none"/>
                <w:lang w:eastAsia="zh-CN"/>
              </w:rPr>
              <w:t>、</w:t>
            </w:r>
            <w:r>
              <w:rPr>
                <w:rFonts w:hint="eastAsia" w:ascii="Times New Roman" w:hAnsi="Times New Roman" w:eastAsia="宋体" w:cs="Times New Roman"/>
                <w:sz w:val="20"/>
                <w:szCs w:val="20"/>
                <w:highlight w:val="none"/>
                <w:lang w:val="en-US" w:eastAsia="zh-CN"/>
              </w:rPr>
              <w:t>监控</w:t>
            </w:r>
            <w:r>
              <w:rPr>
                <w:rFonts w:hint="eastAsia" w:ascii="Times New Roman" w:hAnsi="Times New Roman" w:cs="Times New Roman"/>
                <w:sz w:val="20"/>
                <w:szCs w:val="20"/>
                <w:highlight w:val="none"/>
                <w:lang w:val="en-US" w:eastAsia="zh-CN"/>
              </w:rPr>
              <w:t>设备</w:t>
            </w:r>
            <w:r>
              <w:rPr>
                <w:rFonts w:hint="eastAsia" w:ascii="Times New Roman" w:hAnsi="Times New Roman" w:eastAsia="宋体" w:cs="Times New Roman"/>
                <w:sz w:val="20"/>
                <w:szCs w:val="20"/>
                <w:highlight w:val="none"/>
              </w:rPr>
              <w:t>）等证明材料，开标室、评标室、监督室不得为同一个区域（房间）</w:t>
            </w:r>
            <w:r>
              <w:rPr>
                <w:rFonts w:hint="eastAsia" w:ascii="Times New Roman" w:hAnsi="Times New Roman" w:eastAsia="宋体" w:cs="Times New Roman"/>
                <w:sz w:val="20"/>
                <w:szCs w:val="20"/>
                <w:highlight w:val="none"/>
                <w:lang w:eastAsia="zh-CN"/>
              </w:rPr>
              <w:t>，</w:t>
            </w:r>
            <w:r>
              <w:rPr>
                <w:rFonts w:hint="eastAsia" w:ascii="Times New Roman" w:hAnsi="Times New Roman" w:eastAsia="宋体" w:cs="Times New Roman"/>
                <w:sz w:val="20"/>
                <w:szCs w:val="20"/>
                <w:highlight w:val="none"/>
              </w:rPr>
              <w:t>否则按一个功能区计算。</w:t>
            </w:r>
            <w:r>
              <w:rPr>
                <w:rFonts w:hint="eastAsia" w:ascii="Times New Roman" w:hAnsi="Times New Roman" w:cs="Times New Roman"/>
                <w:sz w:val="20"/>
                <w:szCs w:val="20"/>
                <w:highlight w:val="none"/>
                <w:lang w:val="en-US" w:eastAsia="zh-CN"/>
              </w:rPr>
              <w:t>]</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5F18565F">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cs="Times New Roman"/>
                <w:sz w:val="20"/>
                <w:szCs w:val="20"/>
                <w:highlight w:val="none"/>
                <w:lang w:val="en-US" w:eastAsia="zh-CN"/>
              </w:rPr>
            </w:pPr>
          </w:p>
        </w:tc>
      </w:tr>
      <w:tr w14:paraId="3B1BA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7" w:hRule="atLeast"/>
          <w:jc w:val="center"/>
        </w:trPr>
        <w:tc>
          <w:tcPr>
            <w:tcW w:w="485" w:type="dxa"/>
            <w:tcBorders>
              <w:top w:val="single" w:color="auto" w:sz="4" w:space="0"/>
              <w:left w:val="single" w:color="auto" w:sz="4" w:space="0"/>
              <w:right w:val="single" w:color="auto" w:sz="4" w:space="0"/>
            </w:tcBorders>
            <w:noWrap w:val="0"/>
            <w:vAlign w:val="center"/>
          </w:tcPr>
          <w:p w14:paraId="2E45F020">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default" w:ascii="Times New Roman" w:hAnsi="Times New Roman" w:cs="Times New Roman"/>
                <w:sz w:val="20"/>
                <w:szCs w:val="20"/>
                <w:highlight w:val="none"/>
                <w:lang w:val="en-US"/>
              </w:rPr>
              <w:t>2</w:t>
            </w:r>
          </w:p>
        </w:tc>
        <w:tc>
          <w:tcPr>
            <w:tcW w:w="1054" w:type="dxa"/>
            <w:tcBorders>
              <w:top w:val="single" w:color="auto" w:sz="4" w:space="0"/>
              <w:left w:val="single" w:color="auto" w:sz="4" w:space="0"/>
              <w:right w:val="single" w:color="auto" w:sz="4" w:space="0"/>
            </w:tcBorders>
            <w:noWrap w:val="0"/>
            <w:vAlign w:val="center"/>
          </w:tcPr>
          <w:p w14:paraId="2F3F0203">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服务团队</w:t>
            </w:r>
          </w:p>
        </w:tc>
        <w:tc>
          <w:tcPr>
            <w:tcW w:w="735" w:type="dxa"/>
            <w:tcBorders>
              <w:top w:val="single" w:color="auto" w:sz="4" w:space="0"/>
              <w:left w:val="single" w:color="auto" w:sz="4" w:space="0"/>
              <w:right w:val="single" w:color="auto" w:sz="4" w:space="0"/>
            </w:tcBorders>
            <w:noWrap w:val="0"/>
            <w:vAlign w:val="center"/>
          </w:tcPr>
          <w:p w14:paraId="0C6B6D2D">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jc w:val="center"/>
              <w:textAlignment w:val="auto"/>
              <w:rPr>
                <w:rFonts w:hint="default" w:ascii="Times New Roman" w:hAnsi="Times New Roman" w:eastAsia="宋体" w:cs="Times New Roman"/>
                <w:sz w:val="20"/>
                <w:szCs w:val="20"/>
                <w:highlight w:val="none"/>
              </w:rPr>
            </w:pPr>
            <w:r>
              <w:rPr>
                <w:rFonts w:hint="eastAsia" w:ascii="Times New Roman" w:hAnsi="Times New Roman" w:cs="Times New Roman"/>
                <w:sz w:val="20"/>
                <w:szCs w:val="20"/>
                <w:highlight w:val="none"/>
                <w:lang w:val="en-US" w:eastAsia="zh-CN"/>
              </w:rPr>
              <w:t>32</w:t>
            </w:r>
            <w:r>
              <w:rPr>
                <w:rFonts w:hint="eastAsia" w:ascii="Times New Roman" w:hAnsi="Times New Roman" w:eastAsia="宋体" w:cs="Times New Roman"/>
                <w:sz w:val="20"/>
                <w:szCs w:val="20"/>
                <w:highlight w:val="none"/>
              </w:rPr>
              <w:t>分</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39D79126">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1</w:t>
            </w:r>
            <w:r>
              <w:rPr>
                <w:rFonts w:hint="eastAsia" w:ascii="Times New Roman" w:hAnsi="Times New Roman" w:eastAsia="宋体" w:cs="Times New Roman"/>
                <w:sz w:val="20"/>
                <w:szCs w:val="20"/>
                <w:highlight w:val="none"/>
                <w:lang w:eastAsia="zh-CN"/>
              </w:rPr>
              <w:t>、</w:t>
            </w:r>
            <w:r>
              <w:rPr>
                <w:rFonts w:hint="eastAsia" w:ascii="Times New Roman" w:hAnsi="Times New Roman" w:cs="Times New Roman"/>
                <w:sz w:val="20"/>
                <w:szCs w:val="20"/>
                <w:highlight w:val="none"/>
                <w:lang w:val="en-US" w:eastAsia="zh-CN"/>
              </w:rPr>
              <w:t>拟派</w:t>
            </w:r>
            <w:r>
              <w:rPr>
                <w:rFonts w:hint="eastAsia" w:ascii="Times New Roman" w:hAnsi="Times New Roman" w:eastAsia="宋体" w:cs="Times New Roman"/>
                <w:sz w:val="20"/>
                <w:szCs w:val="20"/>
                <w:highlight w:val="none"/>
              </w:rPr>
              <w:t>项目</w:t>
            </w:r>
            <w:r>
              <w:rPr>
                <w:rFonts w:hint="eastAsia" w:ascii="Times New Roman" w:hAnsi="Times New Roman" w:cs="Times New Roman"/>
                <w:sz w:val="20"/>
                <w:szCs w:val="20"/>
                <w:highlight w:val="none"/>
                <w:lang w:val="en-US" w:eastAsia="zh-CN"/>
              </w:rPr>
              <w:t>负责人：</w:t>
            </w:r>
            <w:r>
              <w:rPr>
                <w:rFonts w:hint="eastAsia" w:ascii="Times New Roman" w:hAnsi="Times New Roman" w:eastAsia="宋体" w:cs="Times New Roman"/>
                <w:sz w:val="20"/>
                <w:szCs w:val="20"/>
                <w:highlight w:val="none"/>
              </w:rPr>
              <w:t>具有</w:t>
            </w:r>
            <w:r>
              <w:rPr>
                <w:rFonts w:hint="eastAsia" w:ascii="Times New Roman" w:hAnsi="Times New Roman" w:cs="Times New Roman"/>
                <w:sz w:val="20"/>
                <w:szCs w:val="20"/>
                <w:highlight w:val="none"/>
                <w:lang w:val="en-US" w:eastAsia="zh-CN"/>
              </w:rPr>
              <w:t>中级职称的得3分，具有</w:t>
            </w:r>
            <w:r>
              <w:rPr>
                <w:rFonts w:hint="eastAsia" w:ascii="Times New Roman" w:hAnsi="Times New Roman" w:eastAsia="宋体" w:cs="Times New Roman"/>
                <w:sz w:val="20"/>
                <w:szCs w:val="20"/>
                <w:highlight w:val="none"/>
                <w:lang w:val="en-US" w:eastAsia="zh-CN"/>
              </w:rPr>
              <w:t>高级</w:t>
            </w:r>
            <w:r>
              <w:rPr>
                <w:rFonts w:hint="eastAsia" w:ascii="Times New Roman" w:hAnsi="Times New Roman" w:eastAsia="宋体" w:cs="Times New Roman"/>
                <w:sz w:val="20"/>
                <w:szCs w:val="20"/>
                <w:highlight w:val="none"/>
              </w:rPr>
              <w:t>及以上职称的得</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rPr>
              <w:t>分</w:t>
            </w:r>
            <w:r>
              <w:rPr>
                <w:rFonts w:hint="eastAsia" w:ascii="Times New Roman" w:hAnsi="Times New Roman" w:cs="Times New Roman"/>
                <w:sz w:val="20"/>
                <w:szCs w:val="20"/>
                <w:highlight w:val="none"/>
                <w:lang w:eastAsia="zh-CN"/>
              </w:rPr>
              <w:t>；</w:t>
            </w:r>
            <w:r>
              <w:rPr>
                <w:rFonts w:hint="eastAsia" w:ascii="Times New Roman" w:hAnsi="Times New Roman" w:eastAsia="宋体" w:cs="Times New Roman"/>
                <w:sz w:val="20"/>
                <w:szCs w:val="20"/>
                <w:highlight w:val="none"/>
              </w:rPr>
              <w:t>具有四川省政府采购评审专家证</w:t>
            </w:r>
            <w:r>
              <w:rPr>
                <w:rFonts w:hint="eastAsia" w:ascii="Times New Roman" w:hAnsi="Times New Roman" w:eastAsia="宋体" w:cs="Times New Roman"/>
                <w:sz w:val="20"/>
                <w:szCs w:val="20"/>
                <w:highlight w:val="none"/>
                <w:lang w:val="en-US" w:eastAsia="zh-CN"/>
              </w:rPr>
              <w:t>的</w:t>
            </w:r>
            <w:r>
              <w:rPr>
                <w:rFonts w:hint="eastAsia" w:ascii="Times New Roman" w:hAnsi="Times New Roman" w:cs="Times New Roman"/>
                <w:sz w:val="20"/>
                <w:szCs w:val="20"/>
                <w:highlight w:val="none"/>
                <w:lang w:val="en-US" w:eastAsia="zh-CN"/>
              </w:rPr>
              <w:t>得4</w:t>
            </w:r>
            <w:r>
              <w:rPr>
                <w:rFonts w:hint="eastAsia" w:ascii="Times New Roman" w:hAnsi="Times New Roman" w:eastAsia="宋体" w:cs="Times New Roman"/>
                <w:sz w:val="20"/>
                <w:szCs w:val="20"/>
                <w:highlight w:val="none"/>
              </w:rPr>
              <w:t>分</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具有四川省综合评标专家证的得4分。</w:t>
            </w:r>
            <w:r>
              <w:rPr>
                <w:rFonts w:hint="eastAsia" w:ascii="Times New Roman" w:hAnsi="Times New Roman" w:eastAsia="宋体" w:cs="Times New Roman"/>
                <w:sz w:val="20"/>
                <w:szCs w:val="20"/>
                <w:highlight w:val="none"/>
              </w:rPr>
              <w:t>本项最</w:t>
            </w:r>
            <w:r>
              <w:rPr>
                <w:rFonts w:hint="eastAsia" w:ascii="Times New Roman" w:hAnsi="Times New Roman" w:eastAsia="宋体" w:cs="Times New Roman"/>
                <w:sz w:val="20"/>
                <w:szCs w:val="20"/>
                <w:highlight w:val="none"/>
                <w:lang w:val="en-US" w:eastAsia="zh-CN"/>
              </w:rPr>
              <w:t>多</w:t>
            </w:r>
            <w:r>
              <w:rPr>
                <w:rFonts w:hint="eastAsia" w:ascii="Times New Roman" w:hAnsi="Times New Roman" w:eastAsia="宋体" w:cs="Times New Roman"/>
                <w:sz w:val="20"/>
                <w:szCs w:val="20"/>
                <w:highlight w:val="none"/>
              </w:rPr>
              <w:t>得</w:t>
            </w:r>
            <w:r>
              <w:rPr>
                <w:rFonts w:hint="eastAsia" w:ascii="Times New Roman" w:hAnsi="Times New Roman" w:cs="Times New Roman"/>
                <w:sz w:val="20"/>
                <w:szCs w:val="20"/>
                <w:highlight w:val="none"/>
                <w:lang w:val="en-US" w:eastAsia="zh-CN"/>
              </w:rPr>
              <w:t>12</w:t>
            </w:r>
            <w:r>
              <w:rPr>
                <w:rFonts w:hint="eastAsia" w:ascii="Times New Roman" w:hAnsi="Times New Roman" w:eastAsia="宋体" w:cs="Times New Roman"/>
                <w:sz w:val="20"/>
                <w:szCs w:val="20"/>
                <w:highlight w:val="none"/>
              </w:rPr>
              <w:t>分。</w:t>
            </w:r>
          </w:p>
          <w:p w14:paraId="31219520">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Style w:val="24"/>
                <w:rFonts w:hint="default" w:ascii="Times New Roman" w:hAnsi="Times New Roman" w:eastAsia="宋体" w:cs="Times New Roman"/>
                <w:b w:val="0"/>
                <w:bCs w:val="0"/>
                <w:color w:val="auto"/>
                <w:sz w:val="20"/>
                <w:szCs w:val="20"/>
                <w:highlight w:val="none"/>
                <w:lang w:val="en-US" w:eastAsia="zh-CN" w:bidi="ar"/>
              </w:rPr>
            </w:pPr>
            <w:r>
              <w:rPr>
                <w:rFonts w:hint="eastAsia" w:ascii="Times New Roman" w:hAnsi="Times New Roman" w:eastAsia="宋体" w:cs="Times New Roman"/>
                <w:sz w:val="20"/>
                <w:szCs w:val="20"/>
                <w:highlight w:val="none"/>
              </w:rPr>
              <w:t>2、</w:t>
            </w:r>
            <w:r>
              <w:rPr>
                <w:rFonts w:hint="eastAsia" w:ascii="Times New Roman" w:hAnsi="Times New Roman" w:cs="Times New Roman"/>
                <w:sz w:val="20"/>
                <w:szCs w:val="20"/>
                <w:highlight w:val="none"/>
                <w:lang w:val="en-US" w:eastAsia="zh-CN"/>
              </w:rPr>
              <w:t>拟派项目技术人员</w:t>
            </w:r>
            <w:r>
              <w:rPr>
                <w:rFonts w:hint="eastAsia" w:ascii="Times New Roman" w:hAnsi="Times New Roman" w:eastAsia="宋体" w:cs="Times New Roman"/>
                <w:sz w:val="20"/>
                <w:szCs w:val="20"/>
                <w:highlight w:val="none"/>
              </w:rPr>
              <w:t>（项目</w:t>
            </w:r>
            <w:r>
              <w:rPr>
                <w:rFonts w:hint="eastAsia" w:ascii="Times New Roman" w:hAnsi="Times New Roman" w:cs="Times New Roman"/>
                <w:sz w:val="20"/>
                <w:szCs w:val="20"/>
                <w:highlight w:val="none"/>
                <w:lang w:val="en-US" w:eastAsia="zh-CN"/>
              </w:rPr>
              <w:t>负责人</w:t>
            </w:r>
            <w:r>
              <w:rPr>
                <w:rFonts w:hint="eastAsia" w:ascii="Times New Roman" w:hAnsi="Times New Roman" w:eastAsia="宋体" w:cs="Times New Roman"/>
                <w:sz w:val="20"/>
                <w:szCs w:val="20"/>
                <w:highlight w:val="none"/>
              </w:rPr>
              <w:t>除外）</w:t>
            </w:r>
            <w:r>
              <w:rPr>
                <w:rFonts w:hint="eastAsia" w:ascii="Times New Roman" w:hAnsi="Times New Roman" w:cs="Times New Roman"/>
                <w:sz w:val="20"/>
                <w:szCs w:val="20"/>
                <w:highlight w:val="none"/>
                <w:lang w:eastAsia="zh-CN"/>
              </w:rPr>
              <w:t>：</w:t>
            </w:r>
            <w:r>
              <w:rPr>
                <w:rFonts w:hint="eastAsia" w:ascii="Times New Roman" w:hAnsi="Times New Roman" w:eastAsia="宋体" w:cs="Times New Roman"/>
                <w:sz w:val="20"/>
                <w:szCs w:val="20"/>
                <w:highlight w:val="none"/>
              </w:rPr>
              <w:t>具有四川省政府采购评审专家</w:t>
            </w:r>
            <w:r>
              <w:rPr>
                <w:rFonts w:hint="eastAsia" w:ascii="Times New Roman" w:hAnsi="Times New Roman" w:cs="Times New Roman"/>
                <w:sz w:val="20"/>
                <w:szCs w:val="20"/>
                <w:highlight w:val="none"/>
                <w:lang w:val="en-US" w:eastAsia="zh-CN"/>
              </w:rPr>
              <w:t>证</w:t>
            </w:r>
            <w:r>
              <w:rPr>
                <w:rFonts w:hint="eastAsia" w:ascii="Times New Roman" w:hAnsi="Times New Roman" w:eastAsia="宋体" w:cs="Times New Roman"/>
                <w:sz w:val="20"/>
                <w:szCs w:val="20"/>
                <w:highlight w:val="none"/>
                <w:lang w:val="en-US" w:eastAsia="zh-CN"/>
              </w:rPr>
              <w:t>的1个得</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lang w:val="en-US" w:eastAsia="zh-CN"/>
              </w:rPr>
              <w:t>分</w:t>
            </w:r>
            <w:r>
              <w:rPr>
                <w:rFonts w:hint="eastAsia" w:ascii="Times New Roman" w:hAnsi="Times New Roman" w:cs="Times New Roman"/>
                <w:sz w:val="20"/>
                <w:szCs w:val="20"/>
                <w:highlight w:val="none"/>
                <w:lang w:val="en-US" w:eastAsia="zh-CN"/>
              </w:rPr>
              <w:t>，最多得4分；具有中级及以上职称的每个得3分，最多得12分。本项最多得16分</w:t>
            </w:r>
            <w:r>
              <w:rPr>
                <w:rStyle w:val="24"/>
                <w:rFonts w:hint="eastAsia" w:ascii="Times New Roman" w:hAnsi="Times New Roman" w:eastAsia="宋体" w:cs="Times New Roman"/>
                <w:b w:val="0"/>
                <w:bCs w:val="0"/>
                <w:color w:val="auto"/>
                <w:sz w:val="20"/>
                <w:szCs w:val="20"/>
                <w:highlight w:val="none"/>
                <w:lang w:val="en-US" w:eastAsia="zh-CN" w:bidi="ar"/>
              </w:rPr>
              <w:t>。</w:t>
            </w:r>
          </w:p>
          <w:p w14:paraId="389BDB72">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Style w:val="24"/>
                <w:rFonts w:hint="default" w:ascii="Times New Roman" w:hAnsi="Times New Roman" w:eastAsia="宋体" w:cs="Times New Roman"/>
                <w:b w:val="0"/>
                <w:bCs w:val="0"/>
                <w:color w:val="auto"/>
                <w:sz w:val="20"/>
                <w:szCs w:val="20"/>
                <w:highlight w:val="none"/>
                <w:lang w:val="en-US" w:eastAsia="zh-CN" w:bidi="ar"/>
              </w:rPr>
            </w:pPr>
            <w:r>
              <w:rPr>
                <w:rStyle w:val="24"/>
                <w:rFonts w:hint="default" w:ascii="Times New Roman" w:hAnsi="Times New Roman" w:eastAsia="宋体" w:cs="Times New Roman"/>
                <w:b w:val="0"/>
                <w:bCs w:val="0"/>
                <w:color w:val="auto"/>
                <w:sz w:val="20"/>
                <w:szCs w:val="20"/>
                <w:highlight w:val="none"/>
                <w:lang w:val="en-US" w:eastAsia="zh-CN" w:bidi="ar"/>
              </w:rPr>
              <w:t>（提供相关证</w:t>
            </w:r>
            <w:r>
              <w:rPr>
                <w:rStyle w:val="24"/>
                <w:rFonts w:hint="eastAsia" w:ascii="Times New Roman" w:hAnsi="Times New Roman" w:eastAsia="宋体" w:cs="Times New Roman"/>
                <w:b w:val="0"/>
                <w:bCs w:val="0"/>
                <w:color w:val="auto"/>
                <w:sz w:val="20"/>
                <w:szCs w:val="20"/>
                <w:highlight w:val="none"/>
                <w:lang w:val="en-US" w:eastAsia="zh-CN" w:bidi="ar"/>
              </w:rPr>
              <w:t>书复印件及代理机构</w:t>
            </w:r>
            <w:r>
              <w:rPr>
                <w:rStyle w:val="24"/>
                <w:rFonts w:hint="eastAsia" w:ascii="Times New Roman" w:hAnsi="Times New Roman" w:cs="Times New Roman"/>
                <w:b w:val="0"/>
                <w:bCs w:val="0"/>
                <w:color w:val="auto"/>
                <w:sz w:val="20"/>
                <w:szCs w:val="20"/>
                <w:highlight w:val="none"/>
                <w:lang w:val="en-US" w:eastAsia="zh-CN" w:bidi="ar"/>
              </w:rPr>
              <w:t>为其缴纳的最</w:t>
            </w:r>
            <w:r>
              <w:rPr>
                <w:rStyle w:val="24"/>
                <w:rFonts w:hint="eastAsia" w:ascii="Times New Roman" w:hAnsi="Times New Roman" w:eastAsia="宋体" w:cs="Times New Roman"/>
                <w:b w:val="0"/>
                <w:bCs w:val="0"/>
                <w:color w:val="auto"/>
                <w:sz w:val="20"/>
                <w:szCs w:val="20"/>
                <w:highlight w:val="none"/>
                <w:lang w:val="en-US" w:eastAsia="zh-CN" w:bidi="ar"/>
              </w:rPr>
              <w:t>近</w:t>
            </w:r>
            <w:r>
              <w:rPr>
                <w:rStyle w:val="24"/>
                <w:rFonts w:hint="eastAsia" w:ascii="Times New Roman" w:hAnsi="Times New Roman" w:cs="Times New Roman"/>
                <w:b w:val="0"/>
                <w:bCs w:val="0"/>
                <w:color w:val="auto"/>
                <w:sz w:val="20"/>
                <w:szCs w:val="20"/>
                <w:highlight w:val="none"/>
                <w:lang w:val="en-US" w:eastAsia="zh-CN" w:bidi="ar"/>
              </w:rPr>
              <w:t>6</w:t>
            </w:r>
            <w:r>
              <w:rPr>
                <w:rStyle w:val="24"/>
                <w:rFonts w:hint="eastAsia" w:ascii="Times New Roman" w:hAnsi="Times New Roman" w:eastAsia="宋体" w:cs="Times New Roman"/>
                <w:b w:val="0"/>
                <w:bCs w:val="0"/>
                <w:color w:val="auto"/>
                <w:sz w:val="20"/>
                <w:szCs w:val="20"/>
                <w:highlight w:val="none"/>
                <w:lang w:val="en-US" w:eastAsia="zh-CN" w:bidi="ar"/>
              </w:rPr>
              <w:t>个月</w:t>
            </w:r>
            <w:r>
              <w:rPr>
                <w:rStyle w:val="24"/>
                <w:rFonts w:hint="eastAsia" w:ascii="Times New Roman" w:hAnsi="Times New Roman" w:cs="Times New Roman"/>
                <w:b w:val="0"/>
                <w:bCs w:val="0"/>
                <w:color w:val="auto"/>
                <w:sz w:val="20"/>
                <w:szCs w:val="20"/>
                <w:highlight w:val="none"/>
                <w:lang w:val="en-US" w:eastAsia="zh-CN" w:bidi="ar"/>
              </w:rPr>
              <w:t>社保</w:t>
            </w:r>
            <w:r>
              <w:rPr>
                <w:rStyle w:val="24"/>
                <w:rFonts w:hint="eastAsia" w:ascii="Times New Roman" w:hAnsi="Times New Roman" w:eastAsia="宋体" w:cs="Times New Roman"/>
                <w:b w:val="0"/>
                <w:bCs w:val="0"/>
                <w:color w:val="auto"/>
                <w:sz w:val="20"/>
                <w:szCs w:val="20"/>
                <w:highlight w:val="none"/>
                <w:lang w:val="en-US" w:eastAsia="zh-CN" w:bidi="ar"/>
              </w:rPr>
              <w:t>证明材料加盖鲜章</w:t>
            </w:r>
            <w:r>
              <w:rPr>
                <w:rStyle w:val="24"/>
                <w:rFonts w:hint="eastAsia" w:ascii="Times New Roman" w:hAnsi="Times New Roman" w:cs="Times New Roman"/>
                <w:b w:val="0"/>
                <w:bCs w:val="0"/>
                <w:color w:val="auto"/>
                <w:sz w:val="20"/>
                <w:szCs w:val="20"/>
                <w:highlight w:val="none"/>
                <w:lang w:val="en-US" w:eastAsia="zh-CN" w:bidi="ar"/>
              </w:rPr>
              <w:t>，依法无需缴纳社保的提供相关证明材料复印件。以上人员不得重复。</w:t>
            </w:r>
            <w:r>
              <w:rPr>
                <w:rStyle w:val="24"/>
                <w:rFonts w:hint="default" w:ascii="Times New Roman" w:hAnsi="Times New Roman" w:eastAsia="宋体" w:cs="Times New Roman"/>
                <w:b w:val="0"/>
                <w:bCs w:val="0"/>
                <w:color w:val="auto"/>
                <w:sz w:val="20"/>
                <w:szCs w:val="20"/>
                <w:highlight w:val="none"/>
                <w:lang w:val="en-US" w:eastAsia="zh-CN" w:bidi="ar"/>
              </w:rPr>
              <w:t>）</w:t>
            </w:r>
          </w:p>
          <w:p w14:paraId="3CD32677">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Style w:val="24"/>
                <w:rFonts w:hint="eastAsia" w:ascii="Times New Roman" w:hAnsi="Times New Roman" w:eastAsia="宋体" w:cs="Times New Roman"/>
                <w:b w:val="0"/>
                <w:bCs w:val="0"/>
                <w:color w:val="auto"/>
                <w:sz w:val="20"/>
                <w:szCs w:val="20"/>
                <w:highlight w:val="none"/>
                <w:lang w:val="en-US" w:eastAsia="zh-CN" w:bidi="ar"/>
              </w:rPr>
            </w:pPr>
            <w:r>
              <w:rPr>
                <w:rStyle w:val="24"/>
                <w:rFonts w:hint="eastAsia" w:ascii="Times New Roman" w:hAnsi="Times New Roman" w:cs="Times New Roman"/>
                <w:b w:val="0"/>
                <w:bCs w:val="0"/>
                <w:color w:val="auto"/>
                <w:sz w:val="20"/>
                <w:szCs w:val="20"/>
                <w:highlight w:val="none"/>
                <w:lang w:val="en-US" w:eastAsia="zh-CN" w:bidi="ar"/>
              </w:rPr>
              <w:t>3、</w:t>
            </w:r>
            <w:r>
              <w:rPr>
                <w:rStyle w:val="24"/>
                <w:rFonts w:hint="eastAsia" w:ascii="Times New Roman" w:hAnsi="Times New Roman" w:eastAsia="宋体" w:cs="Times New Roman"/>
                <w:b w:val="0"/>
                <w:bCs w:val="0"/>
                <w:color w:val="auto"/>
                <w:sz w:val="20"/>
                <w:szCs w:val="20"/>
                <w:highlight w:val="none"/>
                <w:lang w:val="en-US" w:eastAsia="zh-CN" w:bidi="ar"/>
              </w:rPr>
              <w:t>代理机构自有</w:t>
            </w:r>
            <w:r>
              <w:rPr>
                <w:rStyle w:val="24"/>
                <w:rFonts w:hint="eastAsia" w:ascii="Times New Roman" w:hAnsi="Times New Roman" w:cs="Times New Roman"/>
                <w:b w:val="0"/>
                <w:bCs w:val="0"/>
                <w:color w:val="auto"/>
                <w:sz w:val="20"/>
                <w:szCs w:val="20"/>
                <w:highlight w:val="none"/>
                <w:lang w:val="en-US" w:eastAsia="zh-CN" w:bidi="ar"/>
              </w:rPr>
              <w:t>律师</w:t>
            </w:r>
            <w:r>
              <w:rPr>
                <w:rStyle w:val="24"/>
                <w:rFonts w:hint="eastAsia" w:ascii="Times New Roman" w:hAnsi="Times New Roman" w:eastAsia="宋体" w:cs="Times New Roman"/>
                <w:b w:val="0"/>
                <w:bCs w:val="0"/>
                <w:color w:val="auto"/>
                <w:sz w:val="20"/>
                <w:szCs w:val="20"/>
                <w:highlight w:val="none"/>
                <w:lang w:val="en-US" w:eastAsia="zh-CN" w:bidi="ar"/>
              </w:rPr>
              <w:t>或有法律顾问的得</w:t>
            </w:r>
            <w:r>
              <w:rPr>
                <w:rStyle w:val="24"/>
                <w:rFonts w:hint="eastAsia" w:ascii="Times New Roman" w:hAnsi="Times New Roman" w:cs="Times New Roman"/>
                <w:b w:val="0"/>
                <w:bCs w:val="0"/>
                <w:color w:val="auto"/>
                <w:sz w:val="20"/>
                <w:szCs w:val="20"/>
                <w:highlight w:val="none"/>
                <w:lang w:val="en-US" w:eastAsia="zh-CN" w:bidi="ar"/>
              </w:rPr>
              <w:t>4</w:t>
            </w:r>
            <w:r>
              <w:rPr>
                <w:rStyle w:val="24"/>
                <w:rFonts w:hint="eastAsia" w:ascii="Times New Roman" w:hAnsi="Times New Roman" w:eastAsia="宋体" w:cs="Times New Roman"/>
                <w:b w:val="0"/>
                <w:bCs w:val="0"/>
                <w:color w:val="auto"/>
                <w:sz w:val="20"/>
                <w:szCs w:val="20"/>
                <w:highlight w:val="none"/>
                <w:lang w:val="en-US" w:eastAsia="zh-CN" w:bidi="ar"/>
              </w:rPr>
              <w:t>分。</w:t>
            </w:r>
          </w:p>
          <w:p w14:paraId="6477B41A">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Style w:val="24"/>
                <w:rFonts w:hint="default" w:ascii="Times New Roman" w:hAnsi="Times New Roman" w:eastAsia="宋体" w:cs="Times New Roman"/>
                <w:b w:val="0"/>
                <w:bCs w:val="0"/>
                <w:color w:val="auto"/>
                <w:sz w:val="20"/>
                <w:szCs w:val="20"/>
                <w:highlight w:val="none"/>
                <w:lang w:val="en-US" w:eastAsia="zh-CN" w:bidi="ar"/>
              </w:rPr>
            </w:pPr>
            <w:r>
              <w:rPr>
                <w:rStyle w:val="24"/>
                <w:rFonts w:hint="eastAsia" w:ascii="Times New Roman" w:hAnsi="Times New Roman" w:eastAsia="宋体" w:cs="Times New Roman"/>
                <w:b w:val="0"/>
                <w:bCs w:val="0"/>
                <w:color w:val="auto"/>
                <w:sz w:val="20"/>
                <w:szCs w:val="20"/>
                <w:highlight w:val="none"/>
                <w:lang w:val="en-US" w:eastAsia="zh-CN" w:bidi="ar"/>
              </w:rPr>
              <w:t>（自有律师的提供律师执业证复印件及代理机构</w:t>
            </w:r>
            <w:r>
              <w:rPr>
                <w:rStyle w:val="24"/>
                <w:rFonts w:hint="eastAsia" w:ascii="Times New Roman" w:hAnsi="Times New Roman" w:cs="Times New Roman"/>
                <w:b w:val="0"/>
                <w:bCs w:val="0"/>
                <w:color w:val="auto"/>
                <w:sz w:val="20"/>
                <w:szCs w:val="20"/>
                <w:highlight w:val="none"/>
                <w:lang w:val="en-US" w:eastAsia="zh-CN" w:bidi="ar"/>
              </w:rPr>
              <w:t>为其缴纳的最</w:t>
            </w:r>
            <w:r>
              <w:rPr>
                <w:rStyle w:val="24"/>
                <w:rFonts w:hint="eastAsia" w:ascii="Times New Roman" w:hAnsi="Times New Roman" w:eastAsia="宋体" w:cs="Times New Roman"/>
                <w:b w:val="0"/>
                <w:bCs w:val="0"/>
                <w:color w:val="auto"/>
                <w:sz w:val="20"/>
                <w:szCs w:val="20"/>
                <w:highlight w:val="none"/>
                <w:lang w:val="en-US" w:eastAsia="zh-CN" w:bidi="ar"/>
              </w:rPr>
              <w:t>近</w:t>
            </w:r>
            <w:r>
              <w:rPr>
                <w:rStyle w:val="24"/>
                <w:rFonts w:hint="eastAsia" w:ascii="Times New Roman" w:hAnsi="Times New Roman" w:cs="Times New Roman"/>
                <w:b w:val="0"/>
                <w:bCs w:val="0"/>
                <w:color w:val="auto"/>
                <w:sz w:val="20"/>
                <w:szCs w:val="20"/>
                <w:highlight w:val="none"/>
                <w:lang w:val="en-US" w:eastAsia="zh-CN" w:bidi="ar"/>
              </w:rPr>
              <w:t>6</w:t>
            </w:r>
            <w:r>
              <w:rPr>
                <w:rStyle w:val="24"/>
                <w:rFonts w:hint="eastAsia" w:ascii="Times New Roman" w:hAnsi="Times New Roman" w:eastAsia="宋体" w:cs="Times New Roman"/>
                <w:b w:val="0"/>
                <w:bCs w:val="0"/>
                <w:color w:val="auto"/>
                <w:sz w:val="20"/>
                <w:szCs w:val="20"/>
                <w:highlight w:val="none"/>
                <w:lang w:val="en-US" w:eastAsia="zh-CN" w:bidi="ar"/>
              </w:rPr>
              <w:t>个月</w:t>
            </w:r>
            <w:r>
              <w:rPr>
                <w:rStyle w:val="24"/>
                <w:rFonts w:hint="eastAsia" w:ascii="Times New Roman" w:hAnsi="Times New Roman" w:cs="Times New Roman"/>
                <w:b w:val="0"/>
                <w:bCs w:val="0"/>
                <w:color w:val="auto"/>
                <w:sz w:val="20"/>
                <w:szCs w:val="20"/>
                <w:highlight w:val="none"/>
                <w:lang w:val="en-US" w:eastAsia="zh-CN" w:bidi="ar"/>
              </w:rPr>
              <w:t>社保</w:t>
            </w:r>
            <w:r>
              <w:rPr>
                <w:rStyle w:val="24"/>
                <w:rFonts w:hint="eastAsia" w:ascii="Times New Roman" w:hAnsi="Times New Roman" w:eastAsia="宋体" w:cs="Times New Roman"/>
                <w:b w:val="0"/>
                <w:bCs w:val="0"/>
                <w:color w:val="auto"/>
                <w:sz w:val="20"/>
                <w:szCs w:val="20"/>
                <w:highlight w:val="none"/>
                <w:lang w:val="en-US" w:eastAsia="zh-CN" w:bidi="ar"/>
              </w:rPr>
              <w:t>证明材料加盖鲜章；法律顾问的提供委托协议书或合同复印件加盖鲜章</w:t>
            </w:r>
            <w:r>
              <w:rPr>
                <w:rStyle w:val="24"/>
                <w:rFonts w:hint="eastAsia" w:ascii="Times New Roman" w:hAnsi="Times New Roman" w:cs="Times New Roman"/>
                <w:b w:val="0"/>
                <w:bCs w:val="0"/>
                <w:color w:val="auto"/>
                <w:sz w:val="20"/>
                <w:szCs w:val="20"/>
                <w:highlight w:val="none"/>
                <w:lang w:val="en-US" w:eastAsia="zh-CN" w:bidi="ar"/>
              </w:rPr>
              <w:t>。</w:t>
            </w:r>
            <w:r>
              <w:rPr>
                <w:rStyle w:val="24"/>
                <w:rFonts w:hint="eastAsia" w:ascii="Times New Roman" w:hAnsi="Times New Roman" w:eastAsia="宋体" w:cs="Times New Roman"/>
                <w:b w:val="0"/>
                <w:bCs w:val="0"/>
                <w:color w:val="auto"/>
                <w:sz w:val="20"/>
                <w:szCs w:val="20"/>
                <w:highlight w:val="none"/>
                <w:lang w:val="en-US" w:eastAsia="zh-CN" w:bidi="ar"/>
              </w:rPr>
              <w:t>）</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29705320">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Style w:val="24"/>
                <w:rFonts w:hint="eastAsia" w:ascii="Times New Roman" w:hAnsi="Times New Roman" w:eastAsia="宋体" w:cs="Times New Roman"/>
                <w:b w:val="0"/>
                <w:bCs w:val="0"/>
                <w:color w:val="auto"/>
                <w:sz w:val="20"/>
                <w:szCs w:val="20"/>
                <w:highlight w:val="none"/>
                <w:lang w:val="en-US" w:eastAsia="zh-CN" w:bidi="ar"/>
              </w:rPr>
            </w:pPr>
          </w:p>
        </w:tc>
      </w:tr>
      <w:tr w14:paraId="60991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jc w:val="center"/>
        </w:trPr>
        <w:tc>
          <w:tcPr>
            <w:tcW w:w="485" w:type="dxa"/>
            <w:tcBorders>
              <w:top w:val="single" w:color="auto" w:sz="4" w:space="0"/>
              <w:left w:val="single" w:color="auto" w:sz="4" w:space="0"/>
              <w:right w:val="single" w:color="auto" w:sz="4" w:space="0"/>
            </w:tcBorders>
            <w:noWrap w:val="0"/>
            <w:vAlign w:val="center"/>
          </w:tcPr>
          <w:p w14:paraId="5C5BA3E8">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default" w:ascii="Times New Roman" w:hAnsi="Times New Roman" w:cs="Times New Roman"/>
                <w:sz w:val="20"/>
                <w:szCs w:val="20"/>
                <w:highlight w:val="none"/>
                <w:lang w:val="en-US"/>
              </w:rPr>
              <w:t>3</w:t>
            </w:r>
          </w:p>
        </w:tc>
        <w:tc>
          <w:tcPr>
            <w:tcW w:w="1054" w:type="dxa"/>
            <w:tcBorders>
              <w:top w:val="single" w:color="auto" w:sz="4" w:space="0"/>
              <w:left w:val="single" w:color="auto" w:sz="4" w:space="0"/>
              <w:right w:val="single" w:color="auto" w:sz="4" w:space="0"/>
            </w:tcBorders>
            <w:noWrap w:val="0"/>
            <w:vAlign w:val="center"/>
          </w:tcPr>
          <w:p w14:paraId="14D53C22">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lang w:val="en-US" w:eastAsia="zh-CN"/>
              </w:rPr>
              <w:t>招标</w:t>
            </w:r>
            <w:r>
              <w:rPr>
                <w:rFonts w:hint="eastAsia" w:ascii="Times New Roman" w:hAnsi="Times New Roman" w:eastAsia="宋体" w:cs="Times New Roman"/>
                <w:sz w:val="20"/>
                <w:szCs w:val="20"/>
                <w:highlight w:val="none"/>
              </w:rPr>
              <w:t>代理业绩</w:t>
            </w:r>
          </w:p>
        </w:tc>
        <w:tc>
          <w:tcPr>
            <w:tcW w:w="735" w:type="dxa"/>
            <w:tcBorders>
              <w:top w:val="single" w:color="auto" w:sz="4" w:space="0"/>
              <w:left w:val="single" w:color="auto" w:sz="4" w:space="0"/>
              <w:right w:val="single" w:color="auto" w:sz="4" w:space="0"/>
            </w:tcBorders>
            <w:noWrap w:val="0"/>
            <w:vAlign w:val="center"/>
          </w:tcPr>
          <w:p w14:paraId="08B6D1F8">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jc w:val="center"/>
              <w:textAlignment w:val="auto"/>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lang w:val="en-US" w:eastAsia="zh-CN"/>
              </w:rPr>
              <w:t>1</w:t>
            </w:r>
            <w:r>
              <w:rPr>
                <w:rFonts w:hint="eastAsia" w:ascii="Times New Roman" w:hAnsi="Times New Roman" w:cs="Times New Roman"/>
                <w:sz w:val="20"/>
                <w:szCs w:val="20"/>
                <w:highlight w:val="none"/>
                <w:lang w:val="en-US" w:eastAsia="zh-CN"/>
              </w:rPr>
              <w:t>4</w:t>
            </w:r>
            <w:r>
              <w:rPr>
                <w:rFonts w:hint="eastAsia" w:ascii="Times New Roman" w:hAnsi="Times New Roman" w:eastAsia="宋体" w:cs="Times New Roman"/>
                <w:sz w:val="20"/>
                <w:szCs w:val="20"/>
                <w:highlight w:val="none"/>
              </w:rPr>
              <w:t>分</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13C7C39A">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rPr>
              <w:t>自20</w:t>
            </w:r>
            <w:r>
              <w:rPr>
                <w:rFonts w:hint="eastAsia" w:ascii="Times New Roman" w:hAnsi="Times New Roman" w:eastAsia="宋体" w:cs="Times New Roman"/>
                <w:sz w:val="20"/>
                <w:szCs w:val="20"/>
                <w:highlight w:val="none"/>
                <w:lang w:val="en-US" w:eastAsia="zh-CN"/>
              </w:rPr>
              <w:t>22</w:t>
            </w:r>
            <w:r>
              <w:rPr>
                <w:rFonts w:hint="eastAsia" w:ascii="Times New Roman" w:hAnsi="Times New Roman" w:eastAsia="宋体" w:cs="Times New Roman"/>
                <w:sz w:val="20"/>
                <w:szCs w:val="20"/>
                <w:highlight w:val="none"/>
              </w:rPr>
              <w:t>年1月1日</w:t>
            </w:r>
            <w:r>
              <w:rPr>
                <w:rFonts w:hint="eastAsia" w:ascii="Times New Roman" w:hAnsi="Times New Roman" w:cs="Times New Roman"/>
                <w:sz w:val="20"/>
                <w:szCs w:val="20"/>
                <w:highlight w:val="none"/>
                <w:lang w:val="en-US" w:eastAsia="zh-CN"/>
              </w:rPr>
              <w:t>以来，每具有1个招标（采购）代理</w:t>
            </w:r>
            <w:r>
              <w:rPr>
                <w:rFonts w:hint="eastAsia" w:ascii="Times New Roman" w:hAnsi="Times New Roman" w:eastAsia="宋体" w:cs="Times New Roman"/>
                <w:sz w:val="20"/>
                <w:szCs w:val="20"/>
                <w:highlight w:val="none"/>
              </w:rPr>
              <w:t>业绩的得</w:t>
            </w:r>
            <w:r>
              <w:rPr>
                <w:rFonts w:hint="eastAsia" w:ascii="Times New Roman" w:hAnsi="Times New Roman" w:eastAsia="宋体" w:cs="Times New Roman"/>
                <w:sz w:val="20"/>
                <w:szCs w:val="20"/>
                <w:highlight w:val="none"/>
                <w:lang w:val="en-US" w:eastAsia="zh-CN"/>
              </w:rPr>
              <w:t>0.5</w:t>
            </w:r>
            <w:r>
              <w:rPr>
                <w:rFonts w:hint="eastAsia" w:ascii="Times New Roman" w:hAnsi="Times New Roman" w:eastAsia="宋体" w:cs="Times New Roman"/>
                <w:sz w:val="20"/>
                <w:szCs w:val="20"/>
                <w:highlight w:val="none"/>
              </w:rPr>
              <w:t>分，</w:t>
            </w:r>
            <w:r>
              <w:rPr>
                <w:rFonts w:hint="eastAsia" w:ascii="Times New Roman" w:hAnsi="Times New Roman" w:cs="Times New Roman"/>
                <w:sz w:val="20"/>
                <w:szCs w:val="20"/>
                <w:highlight w:val="none"/>
                <w:lang w:val="en-US" w:eastAsia="zh-CN"/>
              </w:rPr>
              <w:t>本项</w:t>
            </w:r>
            <w:r>
              <w:rPr>
                <w:rFonts w:hint="eastAsia" w:ascii="Times New Roman" w:hAnsi="Times New Roman" w:eastAsia="宋体" w:cs="Times New Roman"/>
                <w:sz w:val="20"/>
                <w:szCs w:val="20"/>
                <w:highlight w:val="none"/>
              </w:rPr>
              <w:t>最多得</w:t>
            </w:r>
            <w:r>
              <w:rPr>
                <w:rFonts w:hint="eastAsia" w:ascii="Times New Roman" w:hAnsi="Times New Roman" w:cs="Times New Roman"/>
                <w:sz w:val="20"/>
                <w:szCs w:val="20"/>
                <w:highlight w:val="none"/>
                <w:lang w:val="en-US" w:eastAsia="zh-CN"/>
              </w:rPr>
              <w:t>14</w:t>
            </w:r>
            <w:r>
              <w:rPr>
                <w:rFonts w:hint="eastAsia" w:ascii="Times New Roman" w:hAnsi="Times New Roman" w:eastAsia="宋体" w:cs="Times New Roman"/>
                <w:sz w:val="20"/>
                <w:szCs w:val="20"/>
                <w:highlight w:val="none"/>
              </w:rPr>
              <w:t>分。</w:t>
            </w:r>
            <w:r>
              <w:rPr>
                <w:rFonts w:hint="eastAsia" w:ascii="Times New Roman" w:hAnsi="Times New Roman" w:eastAsia="宋体" w:cs="Times New Roman"/>
                <w:sz w:val="20"/>
                <w:szCs w:val="20"/>
                <w:highlight w:val="none"/>
                <w:lang w:val="en-US" w:eastAsia="zh-CN"/>
              </w:rPr>
              <w:t xml:space="preserve"> </w:t>
            </w:r>
          </w:p>
          <w:p w14:paraId="423D6363">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sz w:val="20"/>
                <w:szCs w:val="20"/>
                <w:highlight w:val="none"/>
                <w:lang w:eastAsia="zh-CN"/>
              </w:rPr>
            </w:pP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rPr>
              <w:t>提供</w:t>
            </w:r>
            <w:r>
              <w:rPr>
                <w:rFonts w:hint="eastAsia" w:ascii="Times New Roman" w:hAnsi="Times New Roman" w:cs="Times New Roman"/>
                <w:sz w:val="20"/>
                <w:szCs w:val="20"/>
                <w:highlight w:val="none"/>
                <w:lang w:val="en-US" w:eastAsia="zh-CN"/>
              </w:rPr>
              <w:t>招标（采购）</w:t>
            </w:r>
            <w:r>
              <w:rPr>
                <w:rFonts w:hint="eastAsia" w:ascii="Times New Roman" w:hAnsi="Times New Roman" w:eastAsia="宋体" w:cs="Times New Roman"/>
                <w:sz w:val="20"/>
                <w:szCs w:val="20"/>
                <w:highlight w:val="none"/>
              </w:rPr>
              <w:t>代理合同</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协议</w:t>
            </w:r>
            <w:r>
              <w:rPr>
                <w:rFonts w:hint="eastAsia" w:ascii="Times New Roman" w:hAnsi="Times New Roman" w:cs="Times New Roman"/>
                <w:sz w:val="20"/>
                <w:szCs w:val="20"/>
                <w:highlight w:val="none"/>
                <w:lang w:eastAsia="zh-CN"/>
              </w:rPr>
              <w:t>）</w:t>
            </w:r>
            <w:r>
              <w:rPr>
                <w:rFonts w:hint="eastAsia" w:ascii="Times New Roman" w:hAnsi="Times New Roman" w:eastAsia="宋体" w:cs="Times New Roman"/>
                <w:sz w:val="20"/>
                <w:szCs w:val="20"/>
                <w:highlight w:val="none"/>
              </w:rPr>
              <w:t>或项目</w:t>
            </w:r>
            <w:r>
              <w:rPr>
                <w:rFonts w:hint="eastAsia" w:ascii="Times New Roman" w:hAnsi="Times New Roman" w:cs="Times New Roman"/>
                <w:sz w:val="20"/>
                <w:szCs w:val="20"/>
                <w:highlight w:val="none"/>
                <w:lang w:val="en-US" w:eastAsia="zh-CN"/>
              </w:rPr>
              <w:t>招标（采购）公告</w:t>
            </w:r>
            <w:r>
              <w:rPr>
                <w:rFonts w:hint="eastAsia" w:ascii="Times New Roman" w:hAnsi="Times New Roman" w:eastAsia="宋体" w:cs="Times New Roman"/>
                <w:sz w:val="20"/>
                <w:szCs w:val="20"/>
                <w:highlight w:val="none"/>
              </w:rPr>
              <w:t>截图加盖公章</w:t>
            </w:r>
            <w:r>
              <w:rPr>
                <w:rFonts w:hint="eastAsia" w:ascii="Times New Roman" w:hAnsi="Times New Roman" w:cs="Times New Roman"/>
                <w:sz w:val="20"/>
                <w:szCs w:val="20"/>
                <w:highlight w:val="none"/>
                <w:lang w:eastAsia="zh-CN"/>
              </w:rPr>
              <w:t>。</w:t>
            </w:r>
            <w:r>
              <w:rPr>
                <w:rFonts w:hint="eastAsia" w:ascii="Times New Roman" w:hAnsi="Times New Roman" w:cs="Times New Roman"/>
                <w:sz w:val="20"/>
                <w:szCs w:val="20"/>
                <w:highlight w:val="none"/>
                <w:lang w:val="en-US" w:eastAsia="zh-CN"/>
              </w:rPr>
              <w:t>]</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48A9A3AE">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cs="Times New Roman"/>
                <w:sz w:val="20"/>
                <w:szCs w:val="20"/>
                <w:highlight w:val="none"/>
                <w:lang w:val="en-US" w:eastAsia="zh-CN"/>
              </w:rPr>
            </w:pPr>
          </w:p>
        </w:tc>
      </w:tr>
      <w:tr w14:paraId="2A5C0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350E5B72">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default" w:ascii="Times New Roman" w:hAnsi="Times New Roman" w:cs="Times New Roman"/>
                <w:sz w:val="20"/>
                <w:szCs w:val="20"/>
                <w:highlight w:val="none"/>
                <w:lang w:val="en-US"/>
              </w:rPr>
              <w:t>4</w:t>
            </w:r>
          </w:p>
        </w:tc>
        <w:tc>
          <w:tcPr>
            <w:tcW w:w="1054" w:type="dxa"/>
            <w:tcBorders>
              <w:top w:val="single" w:color="auto" w:sz="4" w:space="0"/>
              <w:left w:val="single" w:color="auto" w:sz="4" w:space="0"/>
              <w:bottom w:val="single" w:color="auto" w:sz="4" w:space="0"/>
              <w:right w:val="single" w:color="auto" w:sz="4" w:space="0"/>
            </w:tcBorders>
            <w:noWrap w:val="0"/>
            <w:vAlign w:val="center"/>
          </w:tcPr>
          <w:p w14:paraId="19979EAA">
            <w:pPr>
              <w:pStyle w:val="6"/>
              <w:tabs>
                <w:tab w:val="left" w:pos="600"/>
              </w:tabs>
              <w:spacing w:beforeLines="0" w:after="0" w:afterLines="0" w:line="360" w:lineRule="auto"/>
              <w:ind w:left="0" w:leftChars="0" w:firstLine="0" w:firstLineChars="0"/>
              <w:jc w:val="center"/>
              <w:rPr>
                <w:rFonts w:hint="default" w:ascii="Times New Roman" w:hAnsi="Times New Roman" w:eastAsia="宋体" w:cs="Times New Roman"/>
                <w:sz w:val="20"/>
                <w:szCs w:val="20"/>
                <w:highlight w:val="none"/>
              </w:rPr>
            </w:pPr>
            <w:r>
              <w:rPr>
                <w:rFonts w:hint="eastAsia" w:ascii="Times New Roman" w:hAnsi="Times New Roman" w:eastAsia="宋体" w:cs="Times New Roman"/>
                <w:sz w:val="20"/>
                <w:szCs w:val="20"/>
                <w:highlight w:val="none"/>
              </w:rPr>
              <w:t>服务方案</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E48BB8A">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jc w:val="center"/>
              <w:textAlignment w:val="auto"/>
              <w:rPr>
                <w:rFonts w:hint="default" w:ascii="Times New Roman" w:hAnsi="Times New Roman" w:eastAsia="宋体" w:cs="Times New Roman"/>
                <w:sz w:val="20"/>
                <w:szCs w:val="20"/>
                <w:highlight w:val="none"/>
              </w:rPr>
            </w:pPr>
            <w:r>
              <w:rPr>
                <w:rFonts w:hint="eastAsia" w:ascii="Times New Roman" w:hAnsi="Times New Roman" w:cs="Times New Roman"/>
                <w:sz w:val="20"/>
                <w:szCs w:val="20"/>
                <w:highlight w:val="none"/>
                <w:lang w:val="en-US" w:eastAsia="zh-CN"/>
              </w:rPr>
              <w:t>3</w:t>
            </w:r>
            <w:r>
              <w:rPr>
                <w:rFonts w:hint="eastAsia" w:ascii="Times New Roman" w:hAnsi="Times New Roman" w:eastAsia="宋体" w:cs="Times New Roman"/>
                <w:sz w:val="20"/>
                <w:szCs w:val="20"/>
                <w:highlight w:val="none"/>
              </w:rPr>
              <w:t>0分</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0D1A8213">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rPr>
              <w:t>1、对</w:t>
            </w:r>
            <w:r>
              <w:rPr>
                <w:rFonts w:hint="eastAsia" w:ascii="Times New Roman" w:hAnsi="Times New Roman" w:cs="Times New Roman"/>
                <w:sz w:val="20"/>
                <w:szCs w:val="20"/>
                <w:highlight w:val="none"/>
                <w:lang w:val="en-US" w:eastAsia="zh-CN"/>
              </w:rPr>
              <w:t>提供的</w:t>
            </w:r>
            <w:r>
              <w:rPr>
                <w:rFonts w:hint="eastAsia" w:ascii="Times New Roman" w:hAnsi="Times New Roman" w:eastAsia="宋体" w:cs="Times New Roman"/>
                <w:sz w:val="20"/>
                <w:szCs w:val="20"/>
                <w:highlight w:val="none"/>
              </w:rPr>
              <w:t>内控制度（包括</w:t>
            </w:r>
            <w:r>
              <w:rPr>
                <w:rFonts w:hint="eastAsia" w:ascii="Times New Roman" w:hAnsi="Times New Roman" w:eastAsia="宋体" w:cs="Times New Roman"/>
                <w:sz w:val="20"/>
                <w:szCs w:val="20"/>
                <w:highlight w:val="none"/>
                <w:lang w:val="en-US" w:eastAsia="zh-CN"/>
              </w:rPr>
              <w:t>但不限于</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lang w:val="en-US" w:eastAsia="zh-CN"/>
              </w:rPr>
              <w:t>①</w:t>
            </w:r>
            <w:r>
              <w:rPr>
                <w:rFonts w:hint="eastAsia" w:ascii="Times New Roman" w:hAnsi="Times New Roman" w:eastAsia="宋体" w:cs="Times New Roman"/>
                <w:sz w:val="20"/>
                <w:szCs w:val="20"/>
                <w:highlight w:val="none"/>
              </w:rPr>
              <w:t>开评标</w:t>
            </w:r>
            <w:r>
              <w:rPr>
                <w:rFonts w:hint="eastAsia" w:ascii="Times New Roman" w:hAnsi="Times New Roman" w:cs="Times New Roman"/>
                <w:sz w:val="20"/>
                <w:szCs w:val="20"/>
                <w:highlight w:val="none"/>
                <w:lang w:val="en-US" w:eastAsia="zh-CN"/>
              </w:rPr>
              <w:t>流程</w:t>
            </w:r>
            <w:r>
              <w:rPr>
                <w:rFonts w:hint="eastAsia" w:ascii="Times New Roman" w:hAnsi="Times New Roman" w:eastAsia="宋体" w:cs="Times New Roman"/>
                <w:sz w:val="20"/>
                <w:szCs w:val="20"/>
                <w:highlight w:val="none"/>
              </w:rPr>
              <w:t>管理</w:t>
            </w:r>
            <w:r>
              <w:rPr>
                <w:rFonts w:hint="eastAsia" w:ascii="Times New Roman" w:hAnsi="Times New Roman" w:cs="Times New Roman"/>
                <w:sz w:val="20"/>
                <w:szCs w:val="20"/>
                <w:highlight w:val="none"/>
                <w:lang w:val="en-US" w:eastAsia="zh-CN"/>
              </w:rPr>
              <w:t>制度</w:t>
            </w:r>
            <w:r>
              <w:rPr>
                <w:rFonts w:hint="eastAsia" w:ascii="Times New Roman" w:hAnsi="Times New Roman" w:eastAsia="宋体" w:cs="Times New Roman"/>
                <w:sz w:val="20"/>
                <w:szCs w:val="20"/>
                <w:highlight w:val="none"/>
              </w:rPr>
              <w:t>、</w:t>
            </w:r>
            <w:r>
              <w:rPr>
                <w:rFonts w:hint="eastAsia" w:ascii="Times New Roman" w:hAnsi="Times New Roman" w:eastAsia="宋体" w:cs="Times New Roman"/>
                <w:sz w:val="20"/>
                <w:szCs w:val="20"/>
                <w:highlight w:val="none"/>
                <w:lang w:val="en-US" w:eastAsia="zh-CN"/>
              </w:rPr>
              <w:t>②</w:t>
            </w:r>
            <w:r>
              <w:rPr>
                <w:rFonts w:hint="eastAsia" w:ascii="Times New Roman" w:hAnsi="Times New Roman" w:eastAsia="宋体" w:cs="Times New Roman"/>
                <w:sz w:val="20"/>
                <w:szCs w:val="20"/>
                <w:highlight w:val="none"/>
              </w:rPr>
              <w:t>质量</w:t>
            </w:r>
            <w:r>
              <w:rPr>
                <w:rFonts w:hint="eastAsia" w:ascii="Times New Roman" w:hAnsi="Times New Roman" w:cs="Times New Roman"/>
                <w:sz w:val="20"/>
                <w:szCs w:val="20"/>
                <w:highlight w:val="none"/>
                <w:lang w:val="en-US" w:eastAsia="zh-CN"/>
              </w:rPr>
              <w:t>保障措施</w:t>
            </w:r>
            <w:r>
              <w:rPr>
                <w:rFonts w:hint="eastAsia" w:ascii="Times New Roman" w:hAnsi="Times New Roman" w:eastAsia="宋体" w:cs="Times New Roman"/>
                <w:sz w:val="20"/>
                <w:szCs w:val="20"/>
                <w:highlight w:val="none"/>
                <w:lang w:eastAsia="zh-CN"/>
              </w:rPr>
              <w:t>、</w:t>
            </w:r>
            <w:r>
              <w:rPr>
                <w:rFonts w:hint="eastAsia" w:ascii="Times New Roman" w:hAnsi="Times New Roman" w:eastAsia="宋体" w:cs="Times New Roman"/>
                <w:sz w:val="20"/>
                <w:szCs w:val="20"/>
                <w:highlight w:val="none"/>
                <w:lang w:val="en-US" w:eastAsia="zh-CN"/>
              </w:rPr>
              <w:t>③人员管理制度、④</w:t>
            </w:r>
            <w:r>
              <w:rPr>
                <w:rFonts w:hint="eastAsia" w:ascii="Times New Roman" w:hAnsi="Times New Roman" w:eastAsia="宋体" w:cs="Times New Roman"/>
                <w:sz w:val="20"/>
                <w:szCs w:val="20"/>
                <w:highlight w:val="none"/>
              </w:rPr>
              <w:t>财务管理</w:t>
            </w:r>
            <w:r>
              <w:rPr>
                <w:rFonts w:hint="eastAsia" w:ascii="Times New Roman" w:hAnsi="Times New Roman" w:eastAsia="宋体" w:cs="Times New Roman"/>
                <w:sz w:val="20"/>
                <w:szCs w:val="20"/>
                <w:highlight w:val="none"/>
                <w:lang w:val="en-US" w:eastAsia="zh-CN"/>
              </w:rPr>
              <w:t>制度</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lang w:val="en-US" w:eastAsia="zh-CN"/>
              </w:rPr>
              <w:t>⑤</w:t>
            </w:r>
            <w:r>
              <w:rPr>
                <w:rFonts w:hint="eastAsia" w:ascii="Times New Roman" w:hAnsi="Times New Roman" w:eastAsia="宋体" w:cs="Times New Roman"/>
                <w:sz w:val="20"/>
                <w:szCs w:val="20"/>
                <w:highlight w:val="none"/>
              </w:rPr>
              <w:t>保密</w:t>
            </w:r>
            <w:r>
              <w:rPr>
                <w:rFonts w:hint="eastAsia" w:ascii="Times New Roman" w:hAnsi="Times New Roman" w:cs="Times New Roman"/>
                <w:sz w:val="20"/>
                <w:szCs w:val="20"/>
                <w:highlight w:val="none"/>
                <w:lang w:val="en-US" w:eastAsia="zh-CN"/>
              </w:rPr>
              <w:t>措施</w:t>
            </w:r>
            <w:r>
              <w:rPr>
                <w:rFonts w:hint="eastAsia" w:ascii="Times New Roman" w:hAnsi="Times New Roman" w:eastAsia="宋体" w:cs="Times New Roman"/>
                <w:sz w:val="20"/>
                <w:szCs w:val="20"/>
                <w:highlight w:val="none"/>
              </w:rPr>
              <w:t>、</w:t>
            </w:r>
            <w:r>
              <w:rPr>
                <w:rFonts w:hint="eastAsia" w:ascii="Times New Roman" w:hAnsi="Times New Roman" w:eastAsia="宋体" w:cs="Times New Roman"/>
                <w:sz w:val="20"/>
                <w:szCs w:val="20"/>
                <w:highlight w:val="none"/>
                <w:lang w:val="en-US" w:eastAsia="zh-CN"/>
              </w:rPr>
              <w:t>⑥</w:t>
            </w:r>
            <w:r>
              <w:rPr>
                <w:rFonts w:hint="eastAsia" w:ascii="Times New Roman" w:hAnsi="Times New Roman" w:eastAsia="宋体" w:cs="Times New Roman"/>
                <w:sz w:val="20"/>
                <w:szCs w:val="20"/>
                <w:highlight w:val="none"/>
              </w:rPr>
              <w:t>档案管理制度</w:t>
            </w:r>
            <w:r>
              <w:rPr>
                <w:rFonts w:hint="eastAsia" w:ascii="Times New Roman" w:hAnsi="Times New Roman" w:eastAsia="宋体" w:cs="Times New Roman"/>
                <w:sz w:val="20"/>
                <w:szCs w:val="20"/>
                <w:highlight w:val="none"/>
                <w:lang w:eastAsia="zh-CN"/>
              </w:rPr>
              <w:t>、</w:t>
            </w:r>
            <w:r>
              <w:rPr>
                <w:rFonts w:hint="eastAsia" w:ascii="Times New Roman" w:hAnsi="Times New Roman" w:eastAsia="宋体" w:cs="Times New Roman"/>
                <w:sz w:val="20"/>
                <w:szCs w:val="20"/>
                <w:highlight w:val="none"/>
                <w:lang w:val="en-US" w:eastAsia="zh-CN"/>
              </w:rPr>
              <w:t>⑦廉洁从业制度</w:t>
            </w:r>
            <w:r>
              <w:rPr>
                <w:rFonts w:hint="eastAsia" w:ascii="Times New Roman" w:hAnsi="Times New Roman" w:eastAsia="宋体" w:cs="Times New Roman"/>
                <w:sz w:val="20"/>
                <w:szCs w:val="20"/>
                <w:highlight w:val="none"/>
              </w:rPr>
              <w:t>）</w:t>
            </w:r>
            <w:r>
              <w:rPr>
                <w:rFonts w:hint="eastAsia" w:ascii="Times New Roman" w:hAnsi="Times New Roman" w:eastAsia="宋体" w:cs="Times New Roman"/>
                <w:sz w:val="20"/>
                <w:szCs w:val="20"/>
                <w:highlight w:val="none"/>
                <w:lang w:val="en-US" w:eastAsia="zh-CN"/>
              </w:rPr>
              <w:t>进行综合评审</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lang w:val="en-US" w:eastAsia="zh-CN"/>
              </w:rPr>
              <w:t>内控制度完善全面、科学合理、</w:t>
            </w:r>
            <w:r>
              <w:rPr>
                <w:rFonts w:hint="eastAsia" w:ascii="Times New Roman" w:hAnsi="Times New Roman" w:eastAsia="宋体" w:cs="Times New Roman"/>
                <w:sz w:val="20"/>
                <w:szCs w:val="20"/>
                <w:highlight w:val="none"/>
              </w:rPr>
              <w:t>可操作性</w:t>
            </w:r>
            <w:r>
              <w:rPr>
                <w:rFonts w:hint="eastAsia" w:ascii="Times New Roman" w:hAnsi="Times New Roman" w:cs="Times New Roman"/>
                <w:sz w:val="20"/>
                <w:szCs w:val="20"/>
                <w:highlight w:val="none"/>
                <w:lang w:val="en-US" w:eastAsia="zh-CN"/>
              </w:rPr>
              <w:t>优秀的</w:t>
            </w:r>
            <w:r>
              <w:rPr>
                <w:rFonts w:hint="eastAsia" w:ascii="Times New Roman" w:hAnsi="Times New Roman" w:eastAsia="宋体" w:cs="Times New Roman"/>
                <w:sz w:val="20"/>
                <w:szCs w:val="20"/>
                <w:highlight w:val="none"/>
                <w:lang w:val="en-US" w:eastAsia="zh-CN"/>
              </w:rPr>
              <w:t>得</w:t>
            </w:r>
            <w:r>
              <w:rPr>
                <w:rFonts w:hint="eastAsia" w:ascii="Times New Roman" w:hAnsi="Times New Roman" w:cs="Times New Roman"/>
                <w:sz w:val="20"/>
                <w:szCs w:val="20"/>
                <w:highlight w:val="none"/>
                <w:lang w:val="en-US" w:eastAsia="zh-CN"/>
              </w:rPr>
              <w:t>15-10</w:t>
            </w:r>
            <w:r>
              <w:rPr>
                <w:rFonts w:hint="eastAsia" w:ascii="Times New Roman" w:hAnsi="Times New Roman" w:eastAsia="宋体" w:cs="Times New Roman"/>
                <w:sz w:val="20"/>
                <w:szCs w:val="20"/>
                <w:highlight w:val="none"/>
                <w:lang w:val="en-US" w:eastAsia="zh-CN"/>
              </w:rPr>
              <w:t>分</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lang w:val="en-US" w:eastAsia="zh-CN"/>
              </w:rPr>
              <w:t>内控制度</w:t>
            </w:r>
            <w:r>
              <w:rPr>
                <w:rFonts w:hint="eastAsia" w:ascii="Times New Roman" w:hAnsi="Times New Roman" w:cs="Times New Roman"/>
                <w:sz w:val="20"/>
                <w:szCs w:val="20"/>
                <w:highlight w:val="none"/>
                <w:lang w:val="en-US" w:eastAsia="zh-CN"/>
              </w:rPr>
              <w:t>较为</w:t>
            </w:r>
            <w:r>
              <w:rPr>
                <w:rFonts w:hint="eastAsia" w:ascii="Times New Roman" w:hAnsi="Times New Roman" w:eastAsia="宋体" w:cs="Times New Roman"/>
                <w:sz w:val="20"/>
                <w:szCs w:val="20"/>
                <w:highlight w:val="none"/>
                <w:lang w:val="en-US" w:eastAsia="zh-CN"/>
              </w:rPr>
              <w:t>全面、</w:t>
            </w:r>
            <w:r>
              <w:rPr>
                <w:rFonts w:hint="eastAsia" w:ascii="Times New Roman" w:hAnsi="Times New Roman" w:cs="Times New Roman"/>
                <w:sz w:val="20"/>
                <w:szCs w:val="20"/>
                <w:highlight w:val="none"/>
                <w:lang w:val="en-US" w:eastAsia="zh-CN"/>
              </w:rPr>
              <w:t>较为</w:t>
            </w:r>
            <w:r>
              <w:rPr>
                <w:rFonts w:hint="eastAsia" w:ascii="Times New Roman" w:hAnsi="Times New Roman" w:eastAsia="宋体" w:cs="Times New Roman"/>
                <w:sz w:val="20"/>
                <w:szCs w:val="20"/>
                <w:highlight w:val="none"/>
                <w:lang w:val="en-US" w:eastAsia="zh-CN"/>
              </w:rPr>
              <w:t>合理、</w:t>
            </w:r>
            <w:r>
              <w:rPr>
                <w:rFonts w:hint="eastAsia" w:ascii="Times New Roman" w:hAnsi="Times New Roman" w:eastAsia="宋体" w:cs="Times New Roman"/>
                <w:sz w:val="20"/>
                <w:szCs w:val="20"/>
                <w:highlight w:val="none"/>
              </w:rPr>
              <w:t>可操作性</w:t>
            </w:r>
            <w:r>
              <w:rPr>
                <w:rFonts w:hint="eastAsia" w:ascii="Times New Roman" w:hAnsi="Times New Roman" w:cs="Times New Roman"/>
                <w:sz w:val="20"/>
                <w:szCs w:val="20"/>
                <w:highlight w:val="none"/>
                <w:lang w:val="en-US" w:eastAsia="zh-CN"/>
              </w:rPr>
              <w:t>一般的</w:t>
            </w:r>
            <w:r>
              <w:rPr>
                <w:rFonts w:hint="eastAsia" w:ascii="Times New Roman" w:hAnsi="Times New Roman" w:eastAsia="宋体" w:cs="Times New Roman"/>
                <w:sz w:val="20"/>
                <w:szCs w:val="20"/>
                <w:highlight w:val="none"/>
                <w:lang w:val="en-US" w:eastAsia="zh-CN"/>
              </w:rPr>
              <w:t>得</w:t>
            </w:r>
            <w:r>
              <w:rPr>
                <w:rFonts w:hint="eastAsia" w:ascii="Times New Roman" w:hAnsi="Times New Roman" w:cs="Times New Roman"/>
                <w:sz w:val="20"/>
                <w:szCs w:val="20"/>
                <w:highlight w:val="none"/>
                <w:lang w:val="en-US" w:eastAsia="zh-CN"/>
              </w:rPr>
              <w:t>9-5</w:t>
            </w:r>
            <w:r>
              <w:rPr>
                <w:rFonts w:hint="eastAsia" w:ascii="Times New Roman" w:hAnsi="Times New Roman" w:eastAsia="宋体" w:cs="Times New Roman"/>
                <w:sz w:val="20"/>
                <w:szCs w:val="20"/>
                <w:highlight w:val="none"/>
                <w:lang w:val="en-US" w:eastAsia="zh-CN"/>
              </w:rPr>
              <w:t>分</w:t>
            </w:r>
            <w:r>
              <w:rPr>
                <w:rFonts w:hint="eastAsia" w:ascii="Times New Roman" w:hAnsi="Times New Roman" w:cs="Times New Roman"/>
                <w:sz w:val="20"/>
                <w:szCs w:val="20"/>
                <w:highlight w:val="none"/>
                <w:lang w:val="en-US" w:eastAsia="zh-CN"/>
              </w:rPr>
              <w:t>；</w:t>
            </w:r>
            <w:r>
              <w:rPr>
                <w:rFonts w:hint="eastAsia" w:ascii="Times New Roman" w:hAnsi="Times New Roman" w:eastAsia="宋体" w:cs="Times New Roman"/>
                <w:sz w:val="20"/>
                <w:szCs w:val="20"/>
                <w:highlight w:val="none"/>
                <w:lang w:val="en-US" w:eastAsia="zh-CN"/>
              </w:rPr>
              <w:t>内控制度</w:t>
            </w:r>
            <w:r>
              <w:rPr>
                <w:rFonts w:hint="eastAsia" w:ascii="Times New Roman" w:hAnsi="Times New Roman" w:cs="Times New Roman"/>
                <w:sz w:val="20"/>
                <w:szCs w:val="20"/>
                <w:highlight w:val="none"/>
                <w:lang w:val="en-US" w:eastAsia="zh-CN"/>
              </w:rPr>
              <w:t>简略</w:t>
            </w:r>
            <w:r>
              <w:rPr>
                <w:rFonts w:hint="eastAsia" w:ascii="Times New Roman" w:hAnsi="Times New Roman" w:eastAsia="宋体" w:cs="Times New Roman"/>
                <w:sz w:val="20"/>
                <w:szCs w:val="20"/>
                <w:highlight w:val="none"/>
                <w:lang w:val="en-US" w:eastAsia="zh-CN"/>
              </w:rPr>
              <w:t>、</w:t>
            </w:r>
            <w:r>
              <w:rPr>
                <w:rFonts w:hint="eastAsia" w:ascii="Times New Roman" w:hAnsi="Times New Roman" w:cs="Times New Roman"/>
                <w:sz w:val="20"/>
                <w:szCs w:val="20"/>
                <w:highlight w:val="none"/>
                <w:lang w:val="en-US" w:eastAsia="zh-CN"/>
              </w:rPr>
              <w:t>合理性较差</w:t>
            </w:r>
            <w:r>
              <w:rPr>
                <w:rFonts w:hint="eastAsia" w:ascii="Times New Roman" w:hAnsi="Times New Roman" w:eastAsia="宋体" w:cs="Times New Roman"/>
                <w:sz w:val="20"/>
                <w:szCs w:val="20"/>
                <w:highlight w:val="none"/>
                <w:lang w:val="en-US" w:eastAsia="zh-CN"/>
              </w:rPr>
              <w:t>、</w:t>
            </w:r>
            <w:r>
              <w:rPr>
                <w:rFonts w:hint="eastAsia" w:ascii="Times New Roman" w:hAnsi="Times New Roman" w:eastAsia="宋体" w:cs="Times New Roman"/>
                <w:sz w:val="20"/>
                <w:szCs w:val="20"/>
                <w:highlight w:val="none"/>
              </w:rPr>
              <w:t>可操作性</w:t>
            </w:r>
            <w:r>
              <w:rPr>
                <w:rFonts w:hint="eastAsia" w:ascii="Times New Roman" w:hAnsi="Times New Roman" w:cs="Times New Roman"/>
                <w:sz w:val="20"/>
                <w:szCs w:val="20"/>
                <w:highlight w:val="none"/>
                <w:lang w:val="en-US" w:eastAsia="zh-CN"/>
              </w:rPr>
              <w:t>差的</w:t>
            </w:r>
            <w:r>
              <w:rPr>
                <w:rFonts w:hint="eastAsia" w:ascii="Times New Roman" w:hAnsi="Times New Roman" w:eastAsia="宋体" w:cs="Times New Roman"/>
                <w:sz w:val="20"/>
                <w:szCs w:val="20"/>
                <w:highlight w:val="none"/>
                <w:lang w:val="en-US" w:eastAsia="zh-CN"/>
              </w:rPr>
              <w:t>得</w:t>
            </w:r>
            <w:r>
              <w:rPr>
                <w:rFonts w:hint="eastAsia" w:ascii="Times New Roman" w:hAnsi="Times New Roman" w:cs="Times New Roman"/>
                <w:sz w:val="20"/>
                <w:szCs w:val="20"/>
                <w:highlight w:val="none"/>
                <w:lang w:val="en-US" w:eastAsia="zh-CN"/>
              </w:rPr>
              <w:t>4-1</w:t>
            </w:r>
            <w:r>
              <w:rPr>
                <w:rFonts w:hint="eastAsia" w:ascii="Times New Roman" w:hAnsi="Times New Roman" w:eastAsia="宋体" w:cs="Times New Roman"/>
                <w:sz w:val="20"/>
                <w:szCs w:val="20"/>
                <w:highlight w:val="none"/>
                <w:lang w:val="en-US" w:eastAsia="zh-CN"/>
              </w:rPr>
              <w:t>分</w:t>
            </w:r>
            <w:r>
              <w:rPr>
                <w:rFonts w:hint="eastAsia" w:ascii="Times New Roman" w:hAnsi="Times New Roman" w:cs="Times New Roman"/>
                <w:sz w:val="20"/>
                <w:szCs w:val="20"/>
                <w:highlight w:val="none"/>
                <w:lang w:val="en-US" w:eastAsia="zh-CN"/>
              </w:rPr>
              <w:t>；未提供内控制度的得0分</w:t>
            </w:r>
            <w:r>
              <w:rPr>
                <w:rFonts w:hint="eastAsia" w:ascii="Times New Roman" w:hAnsi="Times New Roman" w:eastAsia="宋体" w:cs="Times New Roman"/>
                <w:sz w:val="20"/>
                <w:szCs w:val="20"/>
                <w:highlight w:val="none"/>
                <w:lang w:val="en-US" w:eastAsia="zh-CN"/>
              </w:rPr>
              <w:t>。</w:t>
            </w:r>
          </w:p>
          <w:p w14:paraId="64716C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sz w:val="20"/>
                <w:szCs w:val="20"/>
                <w:highlight w:val="none"/>
              </w:rPr>
              <w:t>2</w:t>
            </w:r>
            <w:r>
              <w:rPr>
                <w:rFonts w:hint="eastAsia" w:ascii="Times New Roman" w:hAnsi="Times New Roman" w:eastAsia="宋体" w:cs="Times New Roman"/>
                <w:kern w:val="0"/>
                <w:sz w:val="20"/>
                <w:szCs w:val="20"/>
                <w:highlight w:val="none"/>
                <w:lang w:val="en-US" w:eastAsia="zh-CN" w:bidi="ar-SA"/>
              </w:rPr>
              <w:t>、对提供的服务方案[包括但不限于：①人员配置及分工、②项目服务进度保障措施、③项目风险管控及应急处理措施、</w:t>
            </w:r>
            <w:bookmarkStart w:id="0" w:name="OLE_LINK2"/>
            <w:r>
              <w:rPr>
                <w:rFonts w:hint="eastAsia" w:ascii="Times New Roman" w:hAnsi="Times New Roman" w:eastAsia="宋体" w:cs="Times New Roman"/>
                <w:kern w:val="0"/>
                <w:sz w:val="20"/>
                <w:szCs w:val="20"/>
                <w:highlight w:val="none"/>
                <w:lang w:val="en-US" w:eastAsia="zh-CN" w:bidi="ar-SA"/>
              </w:rPr>
              <w:t>④</w:t>
            </w:r>
            <w:bookmarkEnd w:id="0"/>
            <w:r>
              <w:rPr>
                <w:rFonts w:hint="eastAsia" w:ascii="Times New Roman" w:hAnsi="Times New Roman" w:eastAsia="宋体" w:cs="Times New Roman"/>
                <w:kern w:val="0"/>
                <w:sz w:val="20"/>
                <w:szCs w:val="20"/>
                <w:highlight w:val="none"/>
                <w:lang w:val="en-US" w:eastAsia="zh-CN" w:bidi="ar-SA"/>
              </w:rPr>
              <w:t>防范不正当投标行为的措施、⑤招标（采购）全过程服务方案、⑥质疑、投诉处理方案、⑦培训学习方案]进行综合评审。</w:t>
            </w:r>
            <w:bookmarkStart w:id="1" w:name="OLE_LINK1"/>
          </w:p>
          <w:p w14:paraId="69EA7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b/>
                <w:bCs/>
                <w:color w:val="auto"/>
                <w:kern w:val="0"/>
                <w:sz w:val="20"/>
                <w:szCs w:val="20"/>
                <w:highlight w:val="none"/>
                <w:lang w:val="en-US" w:eastAsia="zh-CN" w:bidi="ar-SA"/>
              </w:rPr>
              <w:t>服务方案完善全面、科学合理、可操作性优秀的得15-10分：</w:t>
            </w:r>
            <w:r>
              <w:rPr>
                <w:rFonts w:hint="eastAsia" w:ascii="Times New Roman" w:hAnsi="Times New Roman" w:eastAsia="宋体" w:cs="Times New Roman"/>
                <w:kern w:val="0"/>
                <w:sz w:val="20"/>
                <w:szCs w:val="20"/>
                <w:highlight w:val="none"/>
                <w:lang w:val="en-US" w:eastAsia="zh-CN" w:bidi="ar-SA"/>
              </w:rPr>
              <w:t>①方案架构完整，必备要素（服务内容、流程、人员、计划、管控、应急、验收、保障等）全部齐全，细节填充到位，无缺项、无疏漏。②100% 覆盖招标文件 / 工作要求全部服务事项、服务范围、服务标准，延伸配套服务、配套管理也同步规划，无任何服务盲区。③严格遵循行业标准、规章制度与业务规律；人员、工期、物资、预算等配置贴合项目实际，逻辑严谨、前后一致，规划方案专业严谨。</w:t>
            </w:r>
            <w:bookmarkStart w:id="2" w:name="OLE_LINK3"/>
            <w:r>
              <w:rPr>
                <w:rFonts w:hint="eastAsia" w:ascii="Times New Roman" w:hAnsi="Times New Roman" w:eastAsia="宋体" w:cs="Times New Roman"/>
                <w:kern w:val="0"/>
                <w:sz w:val="20"/>
                <w:szCs w:val="20"/>
                <w:highlight w:val="none"/>
                <w:lang w:val="en-US" w:eastAsia="zh-CN" w:bidi="ar-SA"/>
              </w:rPr>
              <w:t>④</w:t>
            </w:r>
            <w:bookmarkEnd w:id="2"/>
            <w:r>
              <w:rPr>
                <w:rFonts w:hint="eastAsia" w:ascii="Times New Roman" w:hAnsi="Times New Roman" w:eastAsia="宋体" w:cs="Times New Roman"/>
                <w:kern w:val="0"/>
                <w:sz w:val="20"/>
                <w:szCs w:val="20"/>
                <w:highlight w:val="none"/>
                <w:lang w:val="en-US" w:eastAsia="zh-CN" w:bidi="ar-SA"/>
              </w:rPr>
              <w:t>步骤细化到具体动作，分工、时限、责任人、执行标准清晰明确；有落地细则、管控手段、问题处置方式，无需补充修改即可直接落地执行。）；</w:t>
            </w:r>
          </w:p>
          <w:p w14:paraId="68183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b/>
                <w:bCs/>
                <w:kern w:val="0"/>
                <w:sz w:val="20"/>
                <w:szCs w:val="20"/>
                <w:highlight w:val="none"/>
                <w:lang w:val="en-US" w:eastAsia="zh-CN" w:bidi="ar-SA"/>
              </w:rPr>
              <w:t>服务方案较为全面、较为合理、可操作性一般的得9-5分：</w:t>
            </w:r>
            <w:r>
              <w:rPr>
                <w:rFonts w:hint="eastAsia" w:ascii="Times New Roman" w:hAnsi="Times New Roman" w:eastAsia="宋体" w:cs="Times New Roman"/>
                <w:kern w:val="0"/>
                <w:sz w:val="20"/>
                <w:szCs w:val="20"/>
                <w:highlight w:val="none"/>
                <w:lang w:val="en-US" w:eastAsia="zh-CN" w:bidi="ar-SA"/>
              </w:rPr>
              <w:t xml:space="preserve"> ①主体要素齐全，仅少量次要细节、辅助内容略有缺失，整体框架完整，无重大缺项。②覆盖绝大部分服务要求，仅个别边缘、次要服务内容未体现，核心服务无遗漏。③整体符合行业与工作规则，大方向无误；部分人员安排、时间规划、资源配置略有瑕疵，但不影响整体运行，基本贴合实际。④有基础执行流程和分工，但步骤偏笼统、部分节点不明确；落地需要小幅补充、细化内容才能正常开展工作；</w:t>
            </w:r>
          </w:p>
          <w:p w14:paraId="26F249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imes New Roman" w:hAnsi="Times New Roman" w:eastAsia="宋体" w:cs="Times New Roman"/>
                <w:kern w:val="0"/>
                <w:sz w:val="20"/>
                <w:szCs w:val="20"/>
                <w:highlight w:val="none"/>
                <w:lang w:val="en-US" w:eastAsia="zh-CN" w:bidi="ar-SA"/>
              </w:rPr>
            </w:pPr>
            <w:r>
              <w:rPr>
                <w:rFonts w:hint="eastAsia" w:ascii="Times New Roman" w:hAnsi="Times New Roman" w:eastAsia="宋体" w:cs="Times New Roman"/>
                <w:b/>
                <w:bCs/>
                <w:kern w:val="0"/>
                <w:sz w:val="20"/>
                <w:szCs w:val="20"/>
                <w:highlight w:val="none"/>
                <w:lang w:val="en-US" w:eastAsia="zh-CN" w:bidi="ar-SA"/>
              </w:rPr>
              <w:t>服务方案简略、合理性较差、可操作性差的得4-1分：</w:t>
            </w:r>
            <w:r>
              <w:rPr>
                <w:rFonts w:hint="eastAsia" w:ascii="Times New Roman" w:hAnsi="Times New Roman" w:eastAsia="宋体" w:cs="Times New Roman"/>
                <w:kern w:val="0"/>
                <w:sz w:val="20"/>
                <w:szCs w:val="20"/>
                <w:highlight w:val="none"/>
                <w:lang w:val="en-US" w:eastAsia="zh-CN" w:bidi="ar-SA"/>
              </w:rPr>
              <w:t>①方案架构残缺，核心要素大量缺失，内容单薄，关键板块未撰写，漏洞较多。②仅覆盖少量核心服务内容，多项规定服务事项未提及，服务范围、内容存在明显盲区。③部分内容违背行业规范、工作逻辑；人员、工期、资源等配置脱离项目实际，存在明显不合理、前后矛盾之处。④仅有笼统文字描述，无流程、分工、时限、落地方法；无法直接执行，需大幅度修改、重构才能使用。</w:t>
            </w:r>
          </w:p>
          <w:p w14:paraId="65045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b/>
                <w:bCs/>
                <w:kern w:val="0"/>
                <w:sz w:val="20"/>
                <w:szCs w:val="20"/>
                <w:highlight w:val="none"/>
                <w:lang w:val="en-US" w:eastAsia="zh-CN" w:bidi="ar-SA"/>
              </w:rPr>
              <w:t>未提供服务方案的得0分</w:t>
            </w:r>
            <w:bookmarkEnd w:id="1"/>
            <w:r>
              <w:rPr>
                <w:rFonts w:hint="eastAsia" w:ascii="Times New Roman" w:hAnsi="Times New Roman" w:eastAsia="宋体" w:cs="Times New Roman"/>
                <w:b/>
                <w:bCs/>
                <w:kern w:val="0"/>
                <w:sz w:val="20"/>
                <w:szCs w:val="20"/>
                <w:highlight w:val="none"/>
                <w:lang w:val="en-US" w:eastAsia="zh-CN" w:bidi="ar-SA"/>
              </w:rPr>
              <w:t>：</w:t>
            </w:r>
            <w:r>
              <w:rPr>
                <w:rFonts w:hint="eastAsia" w:ascii="Times New Roman" w:hAnsi="Times New Roman" w:eastAsia="宋体" w:cs="Times New Roman"/>
                <w:kern w:val="0"/>
                <w:sz w:val="20"/>
                <w:szCs w:val="20"/>
                <w:highlight w:val="none"/>
                <w:lang w:val="en-US" w:eastAsia="zh-CN" w:bidi="ar-SA"/>
              </w:rPr>
              <w:t>无对应服务方案文本，直接计 0 分。</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4381AE48">
            <w:pPr>
              <w:pStyle w:val="6"/>
              <w:keepNext w:val="0"/>
              <w:keepLines w:val="0"/>
              <w:pageBreakBefore w:val="0"/>
              <w:widowControl w:val="0"/>
              <w:tabs>
                <w:tab w:val="left" w:pos="600"/>
              </w:tabs>
              <w:kinsoku/>
              <w:wordWrap/>
              <w:overflowPunct/>
              <w:topLinePunct w:val="0"/>
              <w:autoSpaceDE/>
              <w:autoSpaceDN/>
              <w:bidi w:val="0"/>
              <w:adjustRightInd/>
              <w:snapToGrid/>
              <w:spacing w:beforeLines="0" w:after="0" w:afterLines="0" w:line="360" w:lineRule="auto"/>
              <w:ind w:firstLine="0" w:firstLineChars="0"/>
              <w:textAlignment w:val="auto"/>
              <w:rPr>
                <w:rFonts w:hint="eastAsia" w:ascii="Times New Roman" w:hAnsi="Times New Roman" w:eastAsia="宋体" w:cs="Times New Roman"/>
                <w:sz w:val="20"/>
                <w:szCs w:val="20"/>
                <w:highlight w:val="none"/>
              </w:rPr>
            </w:pPr>
          </w:p>
        </w:tc>
      </w:tr>
    </w:tbl>
    <w:p w14:paraId="5F7D1F58">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p>
    <w:p w14:paraId="6DEA9C0D">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p>
    <w:p w14:paraId="56C21C52">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p>
    <w:p w14:paraId="5306B21F">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p>
    <w:p w14:paraId="0B778C90">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53A04ED2">
      <w:pPr>
        <w:pStyle w:val="4"/>
        <w:keepNext w:val="0"/>
        <w:keepLines w:val="0"/>
        <w:pageBreakBefore w:val="0"/>
        <w:kinsoku/>
        <w:wordWrap/>
        <w:overflowPunct/>
        <w:topLinePunct w:val="0"/>
        <w:autoSpaceDE/>
        <w:autoSpaceDN/>
        <w:bidi w:val="0"/>
        <w:spacing w:before="0" w:beforeAutospacing="0" w:after="0" w:afterAutospacing="0" w:line="580" w:lineRule="exact"/>
        <w:jc w:val="center"/>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声明材料格式</w:t>
      </w:r>
    </w:p>
    <w:p w14:paraId="020666E4">
      <w:pPr>
        <w:keepNext w:val="0"/>
        <w:keepLines w:val="0"/>
        <w:pageBreakBefore w:val="0"/>
        <w:kinsoku/>
        <w:wordWrap/>
        <w:overflowPunct/>
        <w:topLinePunct w:val="0"/>
        <w:autoSpaceDE/>
        <w:autoSpaceDN/>
        <w:bidi w:val="0"/>
        <w:spacing w:beforeAutospacing="0" w:afterAutospacing="0" w:line="580" w:lineRule="exact"/>
        <w:ind w:right="-1"/>
        <w:jc w:val="left"/>
        <w:textAlignment w:val="auto"/>
        <w:rPr>
          <w:rFonts w:hint="eastAsia" w:ascii="仿宋" w:hAnsi="仿宋" w:eastAsia="仿宋" w:cs="仿宋"/>
          <w:sz w:val="24"/>
        </w:rPr>
      </w:pPr>
      <w:r>
        <w:rPr>
          <w:rFonts w:hint="eastAsia" w:ascii="仿宋" w:hAnsi="仿宋" w:eastAsia="仿宋" w:cs="仿宋"/>
          <w:sz w:val="24"/>
        </w:rPr>
        <w:t>成都市</w:t>
      </w:r>
      <w:r>
        <w:rPr>
          <w:rFonts w:hint="eastAsia" w:ascii="仿宋" w:hAnsi="仿宋" w:eastAsia="仿宋" w:cs="仿宋"/>
          <w:sz w:val="24"/>
          <w:lang w:eastAsia="zh-CN"/>
        </w:rPr>
        <w:t>青白江区</w:t>
      </w:r>
      <w:r>
        <w:rPr>
          <w:rFonts w:hint="eastAsia" w:ascii="仿宋" w:hAnsi="仿宋" w:eastAsia="仿宋" w:cs="仿宋"/>
          <w:sz w:val="24"/>
          <w:lang w:val="en-US" w:eastAsia="zh-CN"/>
        </w:rPr>
        <w:t>中医医院集团</w:t>
      </w:r>
      <w:r>
        <w:rPr>
          <w:rFonts w:hint="eastAsia" w:ascii="仿宋" w:hAnsi="仿宋" w:eastAsia="仿宋" w:cs="仿宋"/>
          <w:sz w:val="24"/>
          <w:lang w:eastAsia="zh-CN"/>
        </w:rPr>
        <w:t>：</w:t>
      </w:r>
    </w:p>
    <w:p w14:paraId="11DB4F4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我单位作为</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lang w:eastAsia="zh-CN"/>
        </w:rPr>
        <w:t>项目名称</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rPr>
        <w:t>（项目编号：</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u w:val="single"/>
          <w:lang w:val="en-US" w:eastAsia="zh-CN"/>
        </w:rPr>
        <w:t xml:space="preserve"> </w:t>
      </w:r>
      <w:r>
        <w:rPr>
          <w:rFonts w:hint="default" w:ascii="仿宋" w:hAnsi="仿宋" w:eastAsia="仿宋" w:cs="仿宋"/>
          <w:sz w:val="24"/>
          <w:u w:val="single"/>
          <w:lang w:val="en-US" w:eastAsia="zh-CN"/>
        </w:rPr>
        <w:t xml:space="preserve"> </w:t>
      </w:r>
      <w:r>
        <w:rPr>
          <w:rFonts w:hint="eastAsia" w:ascii="仿宋" w:hAnsi="仿宋" w:eastAsia="仿宋" w:cs="仿宋"/>
          <w:sz w:val="24"/>
        </w:rPr>
        <w:t>）的资格预审申请供应商，在此郑重声明：</w:t>
      </w:r>
    </w:p>
    <w:p w14:paraId="01405402">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一、我单位参加政府采购活动前三年内，在经营活动中</w:t>
      </w:r>
      <w:r>
        <w:rPr>
          <w:rFonts w:hint="eastAsia" w:ascii="仿宋" w:hAnsi="仿宋" w:eastAsia="仿宋" w:cs="仿宋"/>
          <w:sz w:val="24"/>
          <w:u w:val="single"/>
        </w:rPr>
        <w:t>（说明：填写“无”或“有”）</w:t>
      </w:r>
      <w:r>
        <w:rPr>
          <w:rFonts w:hint="eastAsia" w:ascii="仿宋" w:hAnsi="仿宋" w:eastAsia="仿宋" w:cs="仿宋"/>
          <w:sz w:val="24"/>
        </w:rPr>
        <w:t>重大违法记录。</w:t>
      </w:r>
    </w:p>
    <w:p w14:paraId="0FA4007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二、我单位</w:t>
      </w:r>
      <w:r>
        <w:rPr>
          <w:rFonts w:hint="eastAsia" w:ascii="仿宋" w:hAnsi="仿宋" w:eastAsia="仿宋" w:cs="仿宋"/>
          <w:sz w:val="24"/>
          <w:u w:val="single"/>
        </w:rPr>
        <w:t>（说明：填写“具有”或“不具有”）</w:t>
      </w:r>
      <w:r>
        <w:rPr>
          <w:rFonts w:hint="eastAsia" w:ascii="仿宋" w:hAnsi="仿宋" w:eastAsia="仿宋" w:cs="仿宋"/>
          <w:sz w:val="24"/>
        </w:rPr>
        <w:t>良好的商业信誉。</w:t>
      </w:r>
    </w:p>
    <w:p w14:paraId="74D4B27D">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三、我单位</w:t>
      </w:r>
      <w:r>
        <w:rPr>
          <w:rFonts w:hint="eastAsia" w:ascii="仿宋" w:hAnsi="仿宋" w:eastAsia="仿宋" w:cs="仿宋"/>
          <w:sz w:val="24"/>
          <w:u w:val="single"/>
        </w:rPr>
        <w:t>（说明：填写“具有”或“不具有”）</w:t>
      </w:r>
      <w:r>
        <w:rPr>
          <w:rFonts w:hint="eastAsia" w:ascii="仿宋" w:hAnsi="仿宋" w:eastAsia="仿宋" w:cs="仿宋"/>
          <w:sz w:val="24"/>
        </w:rPr>
        <w:t>健全的财务会计制度。</w:t>
      </w:r>
    </w:p>
    <w:p w14:paraId="7F722FEE">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u w:val="single"/>
        </w:rPr>
      </w:pPr>
      <w:r>
        <w:rPr>
          <w:rFonts w:hint="eastAsia" w:ascii="仿宋" w:hAnsi="仿宋" w:eastAsia="仿宋" w:cs="仿宋"/>
          <w:sz w:val="24"/>
        </w:rPr>
        <w:t>四、与我单位存在单位负责人为同一人、直接控股、管理关系的相关供应商：</w:t>
      </w:r>
      <w:r>
        <w:rPr>
          <w:rFonts w:hint="eastAsia" w:ascii="仿宋" w:hAnsi="仿宋" w:eastAsia="仿宋" w:cs="仿宋"/>
          <w:sz w:val="24"/>
          <w:u w:val="single"/>
        </w:rPr>
        <w:t>（说明：填写“无”或“（一）供应商名称１；（二）供应商名称２ ；（三）……”）。</w:t>
      </w:r>
    </w:p>
    <w:p w14:paraId="763B325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五、与我单位为同一母公司的子公司：</w:t>
      </w:r>
      <w:r>
        <w:rPr>
          <w:rFonts w:hint="eastAsia" w:ascii="仿宋" w:hAnsi="仿宋" w:eastAsia="仿宋" w:cs="仿宋"/>
          <w:sz w:val="24"/>
          <w:u w:val="single"/>
        </w:rPr>
        <w:t>（说明：填写“无”或“（一）供应商名称１；（二）供应商名称２ ；（三）……”）</w:t>
      </w:r>
      <w:r>
        <w:rPr>
          <w:rFonts w:hint="eastAsia" w:ascii="仿宋" w:hAnsi="仿宋" w:eastAsia="仿宋" w:cs="仿宋"/>
          <w:sz w:val="24"/>
        </w:rPr>
        <w:t>。</w:t>
      </w:r>
    </w:p>
    <w:p w14:paraId="51CE7E89">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六、在行贿犯罪信息查询期限内，我单位及我单位现任法定代表人、主要负责人</w:t>
      </w:r>
      <w:r>
        <w:rPr>
          <w:rFonts w:hint="eastAsia" w:ascii="仿宋" w:hAnsi="仿宋" w:eastAsia="仿宋" w:cs="仿宋"/>
          <w:sz w:val="24"/>
          <w:u w:val="single"/>
        </w:rPr>
        <w:t>（说明：填写“没有”或“有”）</w:t>
      </w:r>
      <w:r>
        <w:rPr>
          <w:rFonts w:hint="eastAsia" w:ascii="仿宋" w:hAnsi="仿宋" w:eastAsia="仿宋" w:cs="仿宋"/>
          <w:sz w:val="24"/>
        </w:rPr>
        <w:t>行贿犯罪记录。</w:t>
      </w:r>
    </w:p>
    <w:p w14:paraId="0F91BDBF">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七、我单位</w:t>
      </w:r>
      <w:r>
        <w:rPr>
          <w:rFonts w:hint="eastAsia" w:ascii="仿宋" w:hAnsi="仿宋" w:eastAsia="仿宋" w:cs="仿宋"/>
          <w:sz w:val="24"/>
          <w:u w:val="single"/>
        </w:rPr>
        <w:t>（说明：填写“未列入”或“被列入”）</w:t>
      </w:r>
      <w:r>
        <w:rPr>
          <w:rFonts w:hint="eastAsia" w:ascii="仿宋" w:hAnsi="仿宋" w:eastAsia="仿宋" w:cs="仿宋"/>
          <w:sz w:val="24"/>
        </w:rPr>
        <w:t>失信被执行人、重大税收违法案件当事人名单。</w:t>
      </w:r>
    </w:p>
    <w:p w14:paraId="46A9A492">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八、</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政府采购严重违法失信行为记录名单。</w:t>
      </w:r>
    </w:p>
    <w:p w14:paraId="1E36C94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九</w:t>
      </w:r>
      <w:r>
        <w:rPr>
          <w:rFonts w:hint="eastAsia" w:ascii="仿宋" w:hAnsi="仿宋" w:eastAsia="仿宋" w:cs="仿宋"/>
          <w:sz w:val="24"/>
        </w:rPr>
        <w:t>、我单位</w:t>
      </w:r>
      <w:r>
        <w:rPr>
          <w:rFonts w:hint="eastAsia" w:ascii="仿宋" w:hAnsi="仿宋" w:eastAsia="仿宋" w:cs="仿宋"/>
          <w:sz w:val="24"/>
          <w:u w:val="single"/>
        </w:rPr>
        <w:t>（说明：填写“未处于”或“处于”）</w:t>
      </w:r>
      <w:r>
        <w:rPr>
          <w:rFonts w:hint="eastAsia" w:ascii="仿宋" w:hAnsi="仿宋" w:eastAsia="仿宋" w:cs="仿宋"/>
          <w:sz w:val="24"/>
        </w:rPr>
        <w:t>被行政部门禁止参与政府采购活动的期限内。</w:t>
      </w:r>
    </w:p>
    <w:p w14:paraId="061FD960">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依法缴纳社会保障资金的良好记录。</w:t>
      </w:r>
    </w:p>
    <w:p w14:paraId="4BBDBEA8">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十</w:t>
      </w:r>
      <w:r>
        <w:rPr>
          <w:rFonts w:hint="eastAsia" w:ascii="仿宋" w:hAnsi="仿宋" w:eastAsia="仿宋" w:cs="仿宋"/>
          <w:sz w:val="24"/>
          <w:lang w:eastAsia="zh-CN"/>
        </w:rPr>
        <w:t>一</w:t>
      </w:r>
      <w:r>
        <w:rPr>
          <w:rFonts w:hint="eastAsia" w:ascii="仿宋" w:hAnsi="仿宋" w:eastAsia="仿宋" w:cs="仿宋"/>
          <w:sz w:val="24"/>
        </w:rPr>
        <w:t>、我单位</w:t>
      </w:r>
      <w:r>
        <w:rPr>
          <w:rFonts w:hint="eastAsia" w:ascii="仿宋" w:hAnsi="仿宋" w:eastAsia="仿宋" w:cs="仿宋"/>
          <w:sz w:val="24"/>
          <w:u w:val="single"/>
        </w:rPr>
        <w:t>（说明：填写“有”或“无”）</w:t>
      </w:r>
      <w:r>
        <w:rPr>
          <w:rFonts w:hint="eastAsia" w:ascii="仿宋" w:hAnsi="仿宋" w:eastAsia="仿宋" w:cs="仿宋"/>
          <w:sz w:val="24"/>
        </w:rPr>
        <w:t>依法缴纳税收的良好记录。</w:t>
      </w:r>
    </w:p>
    <w:p w14:paraId="3212B0B8">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lang w:eastAsia="zh-CN"/>
        </w:rPr>
      </w:pPr>
      <w:r>
        <w:rPr>
          <w:rFonts w:hint="eastAsia" w:ascii="仿宋" w:hAnsi="仿宋" w:eastAsia="仿宋" w:cs="仿宋"/>
          <w:sz w:val="24"/>
          <w:lang w:eastAsia="zh-CN"/>
        </w:rPr>
        <w:t>十二、</w:t>
      </w:r>
      <w:r>
        <w:rPr>
          <w:rFonts w:hint="eastAsia" w:ascii="仿宋" w:hAnsi="仿宋" w:eastAsia="仿宋" w:cs="仿宋"/>
          <w:sz w:val="24"/>
        </w:rPr>
        <w:t>我单位</w:t>
      </w:r>
      <w:r>
        <w:rPr>
          <w:rFonts w:hint="eastAsia" w:ascii="仿宋" w:hAnsi="仿宋" w:eastAsia="仿宋" w:cs="仿宋"/>
          <w:sz w:val="24"/>
          <w:u w:val="single"/>
        </w:rPr>
        <w:t>（说明：填写“未列入”或“被列入”）</w:t>
      </w:r>
      <w:r>
        <w:rPr>
          <w:rFonts w:hint="eastAsia" w:ascii="仿宋" w:hAnsi="仿宋" w:eastAsia="仿宋" w:cs="仿宋"/>
          <w:sz w:val="24"/>
        </w:rPr>
        <w:t>经营异常名录</w:t>
      </w:r>
      <w:r>
        <w:rPr>
          <w:rFonts w:hint="eastAsia" w:ascii="仿宋" w:hAnsi="仿宋" w:eastAsia="仿宋" w:cs="仿宋"/>
          <w:sz w:val="24"/>
          <w:lang w:eastAsia="zh-CN"/>
        </w:rPr>
        <w:t>。</w:t>
      </w:r>
    </w:p>
    <w:p w14:paraId="3C507436">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lang w:eastAsia="zh-CN"/>
        </w:rPr>
        <w:t>十三、</w:t>
      </w:r>
      <w:r>
        <w:rPr>
          <w:rFonts w:hint="eastAsia" w:ascii="仿宋" w:hAnsi="仿宋" w:eastAsia="仿宋" w:cs="仿宋"/>
          <w:sz w:val="24"/>
        </w:rPr>
        <w:t>我单位</w:t>
      </w:r>
      <w:r>
        <w:rPr>
          <w:rFonts w:hint="eastAsia" w:ascii="仿宋" w:hAnsi="仿宋" w:eastAsia="仿宋" w:cs="仿宋"/>
          <w:sz w:val="24"/>
          <w:u w:val="single"/>
          <w:lang w:eastAsia="zh-CN"/>
        </w:rPr>
        <w:t>（</w:t>
      </w:r>
      <w:r>
        <w:rPr>
          <w:rFonts w:hint="eastAsia" w:ascii="仿宋" w:hAnsi="仿宋" w:eastAsia="仿宋" w:cs="仿宋"/>
          <w:sz w:val="24"/>
          <w:u w:val="single"/>
        </w:rPr>
        <w:t>说明：填写“</w:t>
      </w:r>
      <w:r>
        <w:rPr>
          <w:rFonts w:hint="eastAsia" w:ascii="仿宋" w:hAnsi="仿宋" w:eastAsia="仿宋" w:cs="仿宋"/>
          <w:sz w:val="24"/>
          <w:u w:val="single"/>
          <w:lang w:eastAsia="zh-CN"/>
        </w:rPr>
        <w:t>属于</w:t>
      </w:r>
      <w:r>
        <w:rPr>
          <w:rFonts w:hint="eastAsia" w:ascii="仿宋" w:hAnsi="仿宋" w:eastAsia="仿宋" w:cs="仿宋"/>
          <w:sz w:val="24"/>
          <w:u w:val="single"/>
        </w:rPr>
        <w:t>”或“</w:t>
      </w:r>
      <w:r>
        <w:rPr>
          <w:rFonts w:hint="eastAsia" w:ascii="仿宋" w:hAnsi="仿宋" w:eastAsia="仿宋" w:cs="仿宋"/>
          <w:sz w:val="24"/>
          <w:u w:val="single"/>
          <w:lang w:eastAsia="zh-CN"/>
        </w:rPr>
        <w:t>不属于</w:t>
      </w:r>
      <w:r>
        <w:rPr>
          <w:rFonts w:hint="eastAsia" w:ascii="仿宋" w:hAnsi="仿宋" w:eastAsia="仿宋" w:cs="仿宋"/>
          <w:sz w:val="24"/>
          <w:u w:val="single"/>
        </w:rPr>
        <w:t>”</w:t>
      </w:r>
      <w:r>
        <w:rPr>
          <w:rFonts w:hint="eastAsia" w:ascii="仿宋" w:hAnsi="仿宋" w:eastAsia="仿宋" w:cs="仿宋"/>
          <w:sz w:val="24"/>
          <w:u w:val="single"/>
          <w:lang w:eastAsia="zh-CN"/>
        </w:rPr>
        <w:t>）</w:t>
      </w:r>
      <w:r>
        <w:rPr>
          <w:rFonts w:hint="eastAsia" w:ascii="仿宋" w:hAnsi="仿宋" w:eastAsia="仿宋" w:cs="仿宋"/>
          <w:sz w:val="24"/>
          <w:lang w:eastAsia="zh-CN"/>
        </w:rPr>
        <w:t>禁止参加资格预审的供应商。</w:t>
      </w:r>
    </w:p>
    <w:p w14:paraId="3B78D91C">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52C52A1B">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r>
        <w:rPr>
          <w:rFonts w:hint="eastAsia" w:ascii="仿宋" w:hAnsi="仿宋" w:eastAsia="仿宋" w:cs="仿宋"/>
          <w:sz w:val="24"/>
        </w:rPr>
        <w:t>特此声明。</w:t>
      </w:r>
    </w:p>
    <w:p w14:paraId="01D055A8">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sz w:val="24"/>
        </w:rPr>
      </w:pPr>
    </w:p>
    <w:p w14:paraId="39B7B130">
      <w:pPr>
        <w:keepNext w:val="0"/>
        <w:keepLines w:val="0"/>
        <w:pageBreakBefore w:val="0"/>
        <w:kinsoku/>
        <w:wordWrap/>
        <w:overflowPunct/>
        <w:topLinePunct w:val="0"/>
        <w:autoSpaceDE/>
        <w:autoSpaceDN/>
        <w:bidi w:val="0"/>
        <w:spacing w:beforeAutospacing="0" w:afterAutospacing="0" w:line="580" w:lineRule="exact"/>
        <w:ind w:right="-1" w:firstLine="3840" w:firstLineChars="1600"/>
        <w:jc w:val="left"/>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(加盖公章)</w:t>
      </w:r>
    </w:p>
    <w:p w14:paraId="51628558">
      <w:pPr>
        <w:keepNext w:val="0"/>
        <w:keepLines w:val="0"/>
        <w:pageBreakBefore w:val="0"/>
        <w:kinsoku/>
        <w:wordWrap/>
        <w:overflowPunct/>
        <w:topLinePunct w:val="0"/>
        <w:autoSpaceDE/>
        <w:autoSpaceDN/>
        <w:bidi w:val="0"/>
        <w:spacing w:beforeAutospacing="0" w:afterAutospacing="0" w:line="580" w:lineRule="exact"/>
        <w:ind w:right="-1" w:firstLine="3842" w:firstLineChars="1601"/>
        <w:jc w:val="left"/>
        <w:textAlignment w:val="auto"/>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年</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eastAsia="zh-CN"/>
        </w:rPr>
        <w:t xml:space="preserve"> </w:t>
      </w:r>
      <w:r>
        <w:rPr>
          <w:rFonts w:hint="eastAsia" w:ascii="仿宋" w:hAnsi="仿宋" w:eastAsia="仿宋" w:cs="仿宋"/>
          <w:sz w:val="24"/>
          <w:lang w:val="en-US" w:eastAsia="zh-CN"/>
        </w:rPr>
        <w:t xml:space="preserve">   </w:t>
      </w:r>
      <w:r>
        <w:rPr>
          <w:rFonts w:hint="default" w:ascii="仿宋" w:hAnsi="仿宋" w:eastAsia="仿宋" w:cs="仿宋"/>
          <w:sz w:val="24"/>
          <w:lang w:val="en-US" w:eastAsia="zh-CN"/>
        </w:rPr>
        <w:t xml:space="preserve"> </w:t>
      </w:r>
      <w:r>
        <w:rPr>
          <w:rFonts w:hint="eastAsia" w:ascii="仿宋" w:hAnsi="仿宋" w:eastAsia="仿宋" w:cs="仿宋"/>
          <w:sz w:val="24"/>
        </w:rPr>
        <w:t>日</w:t>
      </w:r>
    </w:p>
    <w:p w14:paraId="270633D2">
      <w:pPr>
        <w:pStyle w:val="2"/>
        <w:rPr>
          <w:rFonts w:hint="default"/>
          <w:lang w:val="en-US" w:eastAsia="zh-CN"/>
        </w:rPr>
      </w:pPr>
    </w:p>
    <w:sectPr>
      <w:footerReference r:id="rId3" w:type="default"/>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80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8F71C1">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598F71C1">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7D370"/>
    <w:multiLevelType w:val="singleLevel"/>
    <w:tmpl w:val="23F7D370"/>
    <w:lvl w:ilvl="0" w:tentative="0">
      <w:start w:val="3"/>
      <w:numFmt w:val="chineseCounting"/>
      <w:suff w:val="nothing"/>
      <w:lvlText w:val="（%1）"/>
      <w:lvlJc w:val="left"/>
      <w:rPr>
        <w:rFonts w:hint="eastAsia"/>
      </w:rPr>
    </w:lvl>
  </w:abstractNum>
  <w:abstractNum w:abstractNumId="1">
    <w:nsid w:val="44C50F90"/>
    <w:multiLevelType w:val="multilevel"/>
    <w:tmpl w:val="44C50F90"/>
    <w:lvl w:ilvl="0" w:tentative="0">
      <w:start w:val="1"/>
      <w:numFmt w:val="lowerLetter"/>
      <w:lvlText w:val="%1)"/>
      <w:lvlJc w:val="left"/>
      <w:pPr>
        <w:tabs>
          <w:tab w:val="left" w:pos="987"/>
        </w:tabs>
        <w:ind w:left="986" w:hanging="419"/>
      </w:pPr>
      <w:rPr>
        <w:rFonts w:hint="eastAsia" w:ascii="宋体" w:hAnsi="Times New Roman" w:eastAsia="宋体" w:cs="Times New Roman"/>
        <w:b w:val="0"/>
        <w:i w:val="0"/>
        <w:sz w:val="21"/>
        <w:szCs w:val="21"/>
      </w:rPr>
    </w:lvl>
    <w:lvl w:ilvl="1" w:tentative="0">
      <w:start w:val="1"/>
      <w:numFmt w:val="decimal"/>
      <w:lvlText w:val="%2)"/>
      <w:lvlJc w:val="left"/>
      <w:pPr>
        <w:tabs>
          <w:tab w:val="left" w:pos="1302"/>
        </w:tabs>
        <w:ind w:left="1301" w:hanging="419"/>
      </w:pPr>
      <w:rPr>
        <w:rFonts w:cs="Times New Roman"/>
      </w:rPr>
    </w:lvl>
    <w:lvl w:ilvl="2" w:tentative="0">
      <w:start w:val="1"/>
      <w:numFmt w:val="decimal"/>
      <w:pStyle w:val="18"/>
      <w:lvlText w:val="(%3)"/>
      <w:lvlJc w:val="left"/>
      <w:pPr>
        <w:tabs>
          <w:tab w:val="left" w:pos="42"/>
        </w:tabs>
        <w:ind w:left="1721" w:hanging="420"/>
      </w:pPr>
      <w:rPr>
        <w:rFonts w:hint="eastAsia" w:ascii="宋体" w:hAnsi="Times New Roman" w:eastAsia="宋体" w:cs="Times New Roman"/>
        <w:b w:val="0"/>
        <w:i w:val="0"/>
        <w:sz w:val="21"/>
        <w:szCs w:val="21"/>
      </w:rPr>
    </w:lvl>
    <w:lvl w:ilvl="3" w:tentative="0">
      <w:start w:val="1"/>
      <w:numFmt w:val="decimal"/>
      <w:lvlText w:val="%4."/>
      <w:lvlJc w:val="left"/>
      <w:pPr>
        <w:tabs>
          <w:tab w:val="left" w:pos="2142"/>
        </w:tabs>
        <w:ind w:left="2141" w:hanging="419"/>
      </w:pPr>
      <w:rPr>
        <w:rFonts w:cs="Times New Roman"/>
      </w:rPr>
    </w:lvl>
    <w:lvl w:ilvl="4" w:tentative="0">
      <w:start w:val="1"/>
      <w:numFmt w:val="lowerLetter"/>
      <w:lvlText w:val="%5)"/>
      <w:lvlJc w:val="left"/>
      <w:pPr>
        <w:tabs>
          <w:tab w:val="left" w:pos="2562"/>
        </w:tabs>
        <w:ind w:left="2561" w:hanging="419"/>
      </w:pPr>
      <w:rPr>
        <w:rFonts w:cs="Times New Roman"/>
      </w:rPr>
    </w:lvl>
    <w:lvl w:ilvl="5" w:tentative="0">
      <w:start w:val="1"/>
      <w:numFmt w:val="lowerRoman"/>
      <w:lvlText w:val="%6."/>
      <w:lvlJc w:val="right"/>
      <w:pPr>
        <w:tabs>
          <w:tab w:val="left" w:pos="2982"/>
        </w:tabs>
        <w:ind w:left="2981" w:hanging="419"/>
      </w:pPr>
      <w:rPr>
        <w:rFonts w:cs="Times New Roman"/>
      </w:rPr>
    </w:lvl>
    <w:lvl w:ilvl="6" w:tentative="0">
      <w:start w:val="1"/>
      <w:numFmt w:val="decimal"/>
      <w:lvlText w:val="%7."/>
      <w:lvlJc w:val="left"/>
      <w:pPr>
        <w:tabs>
          <w:tab w:val="left" w:pos="3402"/>
        </w:tabs>
        <w:ind w:left="3401" w:hanging="419"/>
      </w:pPr>
      <w:rPr>
        <w:rFonts w:cs="Times New Roman"/>
      </w:rPr>
    </w:lvl>
    <w:lvl w:ilvl="7" w:tentative="0">
      <w:start w:val="1"/>
      <w:numFmt w:val="lowerLetter"/>
      <w:lvlText w:val="%8)"/>
      <w:lvlJc w:val="left"/>
      <w:pPr>
        <w:tabs>
          <w:tab w:val="left" w:pos="3822"/>
        </w:tabs>
        <w:ind w:left="3821" w:hanging="419"/>
      </w:pPr>
      <w:rPr>
        <w:rFonts w:cs="Times New Roman"/>
      </w:rPr>
    </w:lvl>
    <w:lvl w:ilvl="8" w:tentative="0">
      <w:start w:val="1"/>
      <w:numFmt w:val="lowerRoman"/>
      <w:lvlText w:val="%9."/>
      <w:lvlJc w:val="right"/>
      <w:pPr>
        <w:tabs>
          <w:tab w:val="left" w:pos="4242"/>
        </w:tabs>
        <w:ind w:left="4241" w:hanging="419"/>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zYxOTBlMzRiN2Q5ZjZlMTQyMzgwOWQ5Y2QxMDEifQ=="/>
  </w:docVars>
  <w:rsids>
    <w:rsidRoot w:val="00000000"/>
    <w:rsid w:val="00352C55"/>
    <w:rsid w:val="007009DE"/>
    <w:rsid w:val="00712D1D"/>
    <w:rsid w:val="00EC697E"/>
    <w:rsid w:val="01110A8D"/>
    <w:rsid w:val="01AC2CC0"/>
    <w:rsid w:val="01AF24F4"/>
    <w:rsid w:val="01CD76D6"/>
    <w:rsid w:val="02191684"/>
    <w:rsid w:val="02684EE0"/>
    <w:rsid w:val="028A3616"/>
    <w:rsid w:val="029A1E00"/>
    <w:rsid w:val="038809AF"/>
    <w:rsid w:val="03AC7EDE"/>
    <w:rsid w:val="03C25663"/>
    <w:rsid w:val="03F123D1"/>
    <w:rsid w:val="042315AD"/>
    <w:rsid w:val="04E77D28"/>
    <w:rsid w:val="05261EFB"/>
    <w:rsid w:val="05A3231A"/>
    <w:rsid w:val="06025D9E"/>
    <w:rsid w:val="060642F8"/>
    <w:rsid w:val="0618454B"/>
    <w:rsid w:val="0691097E"/>
    <w:rsid w:val="06D44DCF"/>
    <w:rsid w:val="0718009B"/>
    <w:rsid w:val="07306FBF"/>
    <w:rsid w:val="07AE046C"/>
    <w:rsid w:val="08027740"/>
    <w:rsid w:val="085B34B3"/>
    <w:rsid w:val="08A81326"/>
    <w:rsid w:val="08BF2942"/>
    <w:rsid w:val="08D82CB6"/>
    <w:rsid w:val="08FF1C7F"/>
    <w:rsid w:val="09A750D7"/>
    <w:rsid w:val="0A4E269A"/>
    <w:rsid w:val="0A8D1161"/>
    <w:rsid w:val="0A96027B"/>
    <w:rsid w:val="0B7465E1"/>
    <w:rsid w:val="0C2B42CF"/>
    <w:rsid w:val="0CD20FD8"/>
    <w:rsid w:val="0CED69F2"/>
    <w:rsid w:val="0D482974"/>
    <w:rsid w:val="0DF80061"/>
    <w:rsid w:val="0E355159"/>
    <w:rsid w:val="0E580775"/>
    <w:rsid w:val="0E7F6199"/>
    <w:rsid w:val="0EC7011C"/>
    <w:rsid w:val="0EFE4EFD"/>
    <w:rsid w:val="0F800DA4"/>
    <w:rsid w:val="0FC2251C"/>
    <w:rsid w:val="0FE63FCB"/>
    <w:rsid w:val="101C284A"/>
    <w:rsid w:val="10266E1B"/>
    <w:rsid w:val="107C76F8"/>
    <w:rsid w:val="1093515E"/>
    <w:rsid w:val="10DB7016"/>
    <w:rsid w:val="10FF5E27"/>
    <w:rsid w:val="110014D2"/>
    <w:rsid w:val="111319FF"/>
    <w:rsid w:val="116B708A"/>
    <w:rsid w:val="11802448"/>
    <w:rsid w:val="11903977"/>
    <w:rsid w:val="126A1A01"/>
    <w:rsid w:val="12B358C1"/>
    <w:rsid w:val="12CF2945"/>
    <w:rsid w:val="12D74368"/>
    <w:rsid w:val="12E06876"/>
    <w:rsid w:val="13A67A75"/>
    <w:rsid w:val="13AC0A3B"/>
    <w:rsid w:val="13B85756"/>
    <w:rsid w:val="13F56425"/>
    <w:rsid w:val="146A47AC"/>
    <w:rsid w:val="14867AAB"/>
    <w:rsid w:val="1491399B"/>
    <w:rsid w:val="14914A5C"/>
    <w:rsid w:val="14AF4EBD"/>
    <w:rsid w:val="14F9249C"/>
    <w:rsid w:val="157A01EC"/>
    <w:rsid w:val="158B6CFF"/>
    <w:rsid w:val="159518EE"/>
    <w:rsid w:val="15C51350"/>
    <w:rsid w:val="15D744DD"/>
    <w:rsid w:val="15F95125"/>
    <w:rsid w:val="15FF5F42"/>
    <w:rsid w:val="162101B1"/>
    <w:rsid w:val="164360BA"/>
    <w:rsid w:val="16A83FA0"/>
    <w:rsid w:val="16C32D21"/>
    <w:rsid w:val="16EB2C28"/>
    <w:rsid w:val="171D170A"/>
    <w:rsid w:val="175D5527"/>
    <w:rsid w:val="17B023FA"/>
    <w:rsid w:val="17B265B3"/>
    <w:rsid w:val="190009FC"/>
    <w:rsid w:val="192B6859"/>
    <w:rsid w:val="194C3CB2"/>
    <w:rsid w:val="19EA6EBE"/>
    <w:rsid w:val="1A5F7DEF"/>
    <w:rsid w:val="1AC26B1C"/>
    <w:rsid w:val="1AED1D5C"/>
    <w:rsid w:val="1B1A75FF"/>
    <w:rsid w:val="1B872350"/>
    <w:rsid w:val="1BB16192"/>
    <w:rsid w:val="1BBA7D0F"/>
    <w:rsid w:val="1BF5240E"/>
    <w:rsid w:val="1C863B48"/>
    <w:rsid w:val="1CE267BC"/>
    <w:rsid w:val="1CE548CD"/>
    <w:rsid w:val="1D193A87"/>
    <w:rsid w:val="1D491BFF"/>
    <w:rsid w:val="1DEA60A3"/>
    <w:rsid w:val="1DEC7D56"/>
    <w:rsid w:val="1E0C4C0E"/>
    <w:rsid w:val="1E48295B"/>
    <w:rsid w:val="1E491EB2"/>
    <w:rsid w:val="1EA46792"/>
    <w:rsid w:val="1EE91F4A"/>
    <w:rsid w:val="1F222CB4"/>
    <w:rsid w:val="1FA10386"/>
    <w:rsid w:val="204A3242"/>
    <w:rsid w:val="2085631B"/>
    <w:rsid w:val="20951BDD"/>
    <w:rsid w:val="20E232BB"/>
    <w:rsid w:val="21091711"/>
    <w:rsid w:val="21114E3F"/>
    <w:rsid w:val="211E2170"/>
    <w:rsid w:val="21227337"/>
    <w:rsid w:val="21506BFD"/>
    <w:rsid w:val="2166543E"/>
    <w:rsid w:val="21BC68A3"/>
    <w:rsid w:val="21C94001"/>
    <w:rsid w:val="222C13A7"/>
    <w:rsid w:val="227B27A4"/>
    <w:rsid w:val="22C12E84"/>
    <w:rsid w:val="237520C0"/>
    <w:rsid w:val="243528AD"/>
    <w:rsid w:val="24401A8B"/>
    <w:rsid w:val="24B765F1"/>
    <w:rsid w:val="24DC2117"/>
    <w:rsid w:val="253E72B9"/>
    <w:rsid w:val="25982BB0"/>
    <w:rsid w:val="25CD3306"/>
    <w:rsid w:val="261E46C9"/>
    <w:rsid w:val="26564176"/>
    <w:rsid w:val="26754EE6"/>
    <w:rsid w:val="268D7CE6"/>
    <w:rsid w:val="26A6170B"/>
    <w:rsid w:val="26AD1ADD"/>
    <w:rsid w:val="26B92226"/>
    <w:rsid w:val="26FA41AF"/>
    <w:rsid w:val="27085AC1"/>
    <w:rsid w:val="27130956"/>
    <w:rsid w:val="27250B11"/>
    <w:rsid w:val="274B41FD"/>
    <w:rsid w:val="274C4838"/>
    <w:rsid w:val="27F218FD"/>
    <w:rsid w:val="282C0DA6"/>
    <w:rsid w:val="28857B0B"/>
    <w:rsid w:val="28AD0A3F"/>
    <w:rsid w:val="28CA5187"/>
    <w:rsid w:val="291E33EF"/>
    <w:rsid w:val="298022BD"/>
    <w:rsid w:val="29831963"/>
    <w:rsid w:val="29853D36"/>
    <w:rsid w:val="299148DE"/>
    <w:rsid w:val="29CA3E30"/>
    <w:rsid w:val="2A405B9A"/>
    <w:rsid w:val="2A613A80"/>
    <w:rsid w:val="2A720856"/>
    <w:rsid w:val="2AA07391"/>
    <w:rsid w:val="2ABD5C2B"/>
    <w:rsid w:val="2AC67D87"/>
    <w:rsid w:val="2AF5386B"/>
    <w:rsid w:val="2AF66349"/>
    <w:rsid w:val="2B056DE5"/>
    <w:rsid w:val="2B2C2535"/>
    <w:rsid w:val="2B884B58"/>
    <w:rsid w:val="2BC24372"/>
    <w:rsid w:val="2BC371C9"/>
    <w:rsid w:val="2BCC5439"/>
    <w:rsid w:val="2C9975C4"/>
    <w:rsid w:val="2CA62013"/>
    <w:rsid w:val="2CF52775"/>
    <w:rsid w:val="2D715565"/>
    <w:rsid w:val="2DF235EE"/>
    <w:rsid w:val="2E1B3F96"/>
    <w:rsid w:val="2E4964AA"/>
    <w:rsid w:val="2EBC6EB2"/>
    <w:rsid w:val="2F64391B"/>
    <w:rsid w:val="2F830BC3"/>
    <w:rsid w:val="2FA2395B"/>
    <w:rsid w:val="30452AC6"/>
    <w:rsid w:val="304E63A5"/>
    <w:rsid w:val="30997588"/>
    <w:rsid w:val="30DA7771"/>
    <w:rsid w:val="31054B1C"/>
    <w:rsid w:val="313A58CF"/>
    <w:rsid w:val="31A25C3D"/>
    <w:rsid w:val="31E8219E"/>
    <w:rsid w:val="32264D32"/>
    <w:rsid w:val="326353A4"/>
    <w:rsid w:val="329A251A"/>
    <w:rsid w:val="33C2668C"/>
    <w:rsid w:val="34454767"/>
    <w:rsid w:val="34CD4EDC"/>
    <w:rsid w:val="34EA1473"/>
    <w:rsid w:val="35350D1F"/>
    <w:rsid w:val="357903F5"/>
    <w:rsid w:val="357C2682"/>
    <w:rsid w:val="35A7601D"/>
    <w:rsid w:val="35E66600"/>
    <w:rsid w:val="366D5660"/>
    <w:rsid w:val="367C6E2B"/>
    <w:rsid w:val="367D07E2"/>
    <w:rsid w:val="36B10B09"/>
    <w:rsid w:val="372654EA"/>
    <w:rsid w:val="3742247A"/>
    <w:rsid w:val="37612850"/>
    <w:rsid w:val="37761E3C"/>
    <w:rsid w:val="377F0DF8"/>
    <w:rsid w:val="37C83F54"/>
    <w:rsid w:val="37D206F1"/>
    <w:rsid w:val="387B73D3"/>
    <w:rsid w:val="38AE0825"/>
    <w:rsid w:val="391A45B0"/>
    <w:rsid w:val="39373685"/>
    <w:rsid w:val="39912596"/>
    <w:rsid w:val="3A051928"/>
    <w:rsid w:val="3A2A7CD4"/>
    <w:rsid w:val="3A9A0C35"/>
    <w:rsid w:val="3AEB7775"/>
    <w:rsid w:val="3B163DA8"/>
    <w:rsid w:val="3BCC2123"/>
    <w:rsid w:val="3BF1497C"/>
    <w:rsid w:val="3C2F6F6A"/>
    <w:rsid w:val="3C577DEC"/>
    <w:rsid w:val="3C67298B"/>
    <w:rsid w:val="3C78103E"/>
    <w:rsid w:val="3CB4059F"/>
    <w:rsid w:val="3CC93051"/>
    <w:rsid w:val="3CEF23FC"/>
    <w:rsid w:val="3CF237C0"/>
    <w:rsid w:val="3CFF1825"/>
    <w:rsid w:val="3D245333"/>
    <w:rsid w:val="3D47611F"/>
    <w:rsid w:val="3D6C7448"/>
    <w:rsid w:val="3D752581"/>
    <w:rsid w:val="3DC77D78"/>
    <w:rsid w:val="3E2F2AC3"/>
    <w:rsid w:val="3E50470D"/>
    <w:rsid w:val="3ECD70D1"/>
    <w:rsid w:val="3F88496C"/>
    <w:rsid w:val="3FCC1255"/>
    <w:rsid w:val="40185F7B"/>
    <w:rsid w:val="40342A22"/>
    <w:rsid w:val="405F69F1"/>
    <w:rsid w:val="407503B7"/>
    <w:rsid w:val="40897CE6"/>
    <w:rsid w:val="40DA6EC2"/>
    <w:rsid w:val="40FA1E86"/>
    <w:rsid w:val="41092E16"/>
    <w:rsid w:val="41591831"/>
    <w:rsid w:val="418F379F"/>
    <w:rsid w:val="41900A22"/>
    <w:rsid w:val="425936ED"/>
    <w:rsid w:val="427D04A7"/>
    <w:rsid w:val="42B612D8"/>
    <w:rsid w:val="431F14F0"/>
    <w:rsid w:val="43874265"/>
    <w:rsid w:val="439D2A7C"/>
    <w:rsid w:val="43C72B81"/>
    <w:rsid w:val="43C83A01"/>
    <w:rsid w:val="43CA5C28"/>
    <w:rsid w:val="43D46C05"/>
    <w:rsid w:val="43ED54CA"/>
    <w:rsid w:val="440801AF"/>
    <w:rsid w:val="448B49CD"/>
    <w:rsid w:val="44B4676D"/>
    <w:rsid w:val="4516125F"/>
    <w:rsid w:val="451A1615"/>
    <w:rsid w:val="451F6E00"/>
    <w:rsid w:val="452B43DA"/>
    <w:rsid w:val="45754DDB"/>
    <w:rsid w:val="470956C0"/>
    <w:rsid w:val="470F0348"/>
    <w:rsid w:val="473D0F56"/>
    <w:rsid w:val="47475CE2"/>
    <w:rsid w:val="47814AC8"/>
    <w:rsid w:val="47DA7634"/>
    <w:rsid w:val="47EC3520"/>
    <w:rsid w:val="486924EC"/>
    <w:rsid w:val="48C409EC"/>
    <w:rsid w:val="491A265E"/>
    <w:rsid w:val="49404B85"/>
    <w:rsid w:val="49500A21"/>
    <w:rsid w:val="49654841"/>
    <w:rsid w:val="49D40705"/>
    <w:rsid w:val="49E64DB0"/>
    <w:rsid w:val="49ED6C24"/>
    <w:rsid w:val="4A254768"/>
    <w:rsid w:val="4A4E7844"/>
    <w:rsid w:val="4A564BAE"/>
    <w:rsid w:val="4A9E0FB1"/>
    <w:rsid w:val="4AEF6687"/>
    <w:rsid w:val="4AF72EB6"/>
    <w:rsid w:val="4B033720"/>
    <w:rsid w:val="4B4D173C"/>
    <w:rsid w:val="4BAB3270"/>
    <w:rsid w:val="4BBB78E6"/>
    <w:rsid w:val="4BC77B32"/>
    <w:rsid w:val="4BE808DB"/>
    <w:rsid w:val="4BEE740D"/>
    <w:rsid w:val="4BF61AE6"/>
    <w:rsid w:val="4C28551B"/>
    <w:rsid w:val="4C482213"/>
    <w:rsid w:val="4C6D4975"/>
    <w:rsid w:val="4D036919"/>
    <w:rsid w:val="4D1208BA"/>
    <w:rsid w:val="4D1826EF"/>
    <w:rsid w:val="4D397D05"/>
    <w:rsid w:val="4D63012F"/>
    <w:rsid w:val="4D9B67F6"/>
    <w:rsid w:val="4DB30715"/>
    <w:rsid w:val="4E40644D"/>
    <w:rsid w:val="4EAD4DE4"/>
    <w:rsid w:val="4EBE5406"/>
    <w:rsid w:val="4F22042A"/>
    <w:rsid w:val="4F532A8C"/>
    <w:rsid w:val="50600A40"/>
    <w:rsid w:val="50945B8E"/>
    <w:rsid w:val="509539D0"/>
    <w:rsid w:val="50AE36DD"/>
    <w:rsid w:val="50BE2B9F"/>
    <w:rsid w:val="50C72008"/>
    <w:rsid w:val="50F97AE4"/>
    <w:rsid w:val="513F4718"/>
    <w:rsid w:val="51576956"/>
    <w:rsid w:val="51947B26"/>
    <w:rsid w:val="51BF23FB"/>
    <w:rsid w:val="51DC79F5"/>
    <w:rsid w:val="51E173A5"/>
    <w:rsid w:val="52AF2D21"/>
    <w:rsid w:val="52B10C54"/>
    <w:rsid w:val="52DF09A4"/>
    <w:rsid w:val="52F02E75"/>
    <w:rsid w:val="52FA1E61"/>
    <w:rsid w:val="530B6033"/>
    <w:rsid w:val="536A0054"/>
    <w:rsid w:val="53914C34"/>
    <w:rsid w:val="53927ADA"/>
    <w:rsid w:val="540443A7"/>
    <w:rsid w:val="5415310A"/>
    <w:rsid w:val="542B5446"/>
    <w:rsid w:val="544318BC"/>
    <w:rsid w:val="54652602"/>
    <w:rsid w:val="546A41EB"/>
    <w:rsid w:val="54717A68"/>
    <w:rsid w:val="54C75A9B"/>
    <w:rsid w:val="54F908A5"/>
    <w:rsid w:val="554135DC"/>
    <w:rsid w:val="55513BAF"/>
    <w:rsid w:val="55645C80"/>
    <w:rsid w:val="557422F5"/>
    <w:rsid w:val="55A2461A"/>
    <w:rsid w:val="55BA500B"/>
    <w:rsid w:val="55C24C6D"/>
    <w:rsid w:val="55E2648B"/>
    <w:rsid w:val="567941F7"/>
    <w:rsid w:val="568C7428"/>
    <w:rsid w:val="56DD7CCF"/>
    <w:rsid w:val="57207F18"/>
    <w:rsid w:val="578568BC"/>
    <w:rsid w:val="57B30E0C"/>
    <w:rsid w:val="57E118F5"/>
    <w:rsid w:val="57E26636"/>
    <w:rsid w:val="57F972EB"/>
    <w:rsid w:val="580A169A"/>
    <w:rsid w:val="58694059"/>
    <w:rsid w:val="58786124"/>
    <w:rsid w:val="589E0DB0"/>
    <w:rsid w:val="58B856F7"/>
    <w:rsid w:val="58CE73B3"/>
    <w:rsid w:val="58DB6E9A"/>
    <w:rsid w:val="5922098D"/>
    <w:rsid w:val="5989659A"/>
    <w:rsid w:val="59DF2860"/>
    <w:rsid w:val="5A20509D"/>
    <w:rsid w:val="5A2B5037"/>
    <w:rsid w:val="5ABB7156"/>
    <w:rsid w:val="5B3A3C2D"/>
    <w:rsid w:val="5B42607D"/>
    <w:rsid w:val="5B7B26E0"/>
    <w:rsid w:val="5B9D7335"/>
    <w:rsid w:val="5BCA7AE1"/>
    <w:rsid w:val="5BF305F8"/>
    <w:rsid w:val="5CFD00EA"/>
    <w:rsid w:val="5D1676E6"/>
    <w:rsid w:val="5D395703"/>
    <w:rsid w:val="5D6135DC"/>
    <w:rsid w:val="5D7B126B"/>
    <w:rsid w:val="5DA26822"/>
    <w:rsid w:val="5DCD5F0D"/>
    <w:rsid w:val="5DFD070C"/>
    <w:rsid w:val="5E2248CF"/>
    <w:rsid w:val="5E64770F"/>
    <w:rsid w:val="5E92008A"/>
    <w:rsid w:val="5E994EF9"/>
    <w:rsid w:val="5F9C0415"/>
    <w:rsid w:val="5FAD4391"/>
    <w:rsid w:val="600C6DF3"/>
    <w:rsid w:val="60374973"/>
    <w:rsid w:val="60482606"/>
    <w:rsid w:val="60660EB2"/>
    <w:rsid w:val="60C933B9"/>
    <w:rsid w:val="61354BBB"/>
    <w:rsid w:val="614F5EBA"/>
    <w:rsid w:val="6159427D"/>
    <w:rsid w:val="617119E8"/>
    <w:rsid w:val="618B0CFF"/>
    <w:rsid w:val="61B604A0"/>
    <w:rsid w:val="61EB1D01"/>
    <w:rsid w:val="620E44B7"/>
    <w:rsid w:val="6252329F"/>
    <w:rsid w:val="6273364A"/>
    <w:rsid w:val="634B199E"/>
    <w:rsid w:val="634F7E7F"/>
    <w:rsid w:val="63A31FC8"/>
    <w:rsid w:val="63B53F67"/>
    <w:rsid w:val="63D1297C"/>
    <w:rsid w:val="64D61663"/>
    <w:rsid w:val="652B383E"/>
    <w:rsid w:val="65586273"/>
    <w:rsid w:val="65815497"/>
    <w:rsid w:val="65C41860"/>
    <w:rsid w:val="65F9097C"/>
    <w:rsid w:val="661A009B"/>
    <w:rsid w:val="665C4F79"/>
    <w:rsid w:val="66857B19"/>
    <w:rsid w:val="66A9249E"/>
    <w:rsid w:val="66E75160"/>
    <w:rsid w:val="66E934E3"/>
    <w:rsid w:val="67C258F0"/>
    <w:rsid w:val="67E47F44"/>
    <w:rsid w:val="68085AF5"/>
    <w:rsid w:val="685A0D57"/>
    <w:rsid w:val="688B1BAE"/>
    <w:rsid w:val="68981BB3"/>
    <w:rsid w:val="68E04E0C"/>
    <w:rsid w:val="690C0210"/>
    <w:rsid w:val="694C6705"/>
    <w:rsid w:val="69E31C28"/>
    <w:rsid w:val="6A037CE8"/>
    <w:rsid w:val="6A2370C0"/>
    <w:rsid w:val="6A596EE1"/>
    <w:rsid w:val="6A77188D"/>
    <w:rsid w:val="6AA72D77"/>
    <w:rsid w:val="6AF13F51"/>
    <w:rsid w:val="6B481B3E"/>
    <w:rsid w:val="6BB01727"/>
    <w:rsid w:val="6BB21726"/>
    <w:rsid w:val="6BFC67DD"/>
    <w:rsid w:val="6C225EE1"/>
    <w:rsid w:val="6C90087E"/>
    <w:rsid w:val="6C951FC8"/>
    <w:rsid w:val="6CC76EF5"/>
    <w:rsid w:val="6CEF4DBB"/>
    <w:rsid w:val="6CF061B7"/>
    <w:rsid w:val="6D346F96"/>
    <w:rsid w:val="6D4E1889"/>
    <w:rsid w:val="6D646292"/>
    <w:rsid w:val="6D914C97"/>
    <w:rsid w:val="6E0F3DC4"/>
    <w:rsid w:val="6EBD791B"/>
    <w:rsid w:val="6EEB1D76"/>
    <w:rsid w:val="6F4C71E3"/>
    <w:rsid w:val="6F9173AD"/>
    <w:rsid w:val="700B437B"/>
    <w:rsid w:val="701A655A"/>
    <w:rsid w:val="704D5DEB"/>
    <w:rsid w:val="70512F9A"/>
    <w:rsid w:val="70740B4D"/>
    <w:rsid w:val="70D252A7"/>
    <w:rsid w:val="70E34039"/>
    <w:rsid w:val="712B5A03"/>
    <w:rsid w:val="71F17037"/>
    <w:rsid w:val="72325DCB"/>
    <w:rsid w:val="72C61A04"/>
    <w:rsid w:val="72D858AB"/>
    <w:rsid w:val="72EE166A"/>
    <w:rsid w:val="731D76CC"/>
    <w:rsid w:val="73206055"/>
    <w:rsid w:val="73614165"/>
    <w:rsid w:val="739567FC"/>
    <w:rsid w:val="739B53DF"/>
    <w:rsid w:val="73D02B9C"/>
    <w:rsid w:val="74C06666"/>
    <w:rsid w:val="74CA52E9"/>
    <w:rsid w:val="74E1691A"/>
    <w:rsid w:val="75203325"/>
    <w:rsid w:val="75A76BEB"/>
    <w:rsid w:val="762B3F61"/>
    <w:rsid w:val="76864ED2"/>
    <w:rsid w:val="773A4AF5"/>
    <w:rsid w:val="7741403A"/>
    <w:rsid w:val="77542396"/>
    <w:rsid w:val="77A94F20"/>
    <w:rsid w:val="77A959DD"/>
    <w:rsid w:val="77C1793F"/>
    <w:rsid w:val="77C36C3A"/>
    <w:rsid w:val="77C6323D"/>
    <w:rsid w:val="780C37CD"/>
    <w:rsid w:val="78197725"/>
    <w:rsid w:val="787A1D33"/>
    <w:rsid w:val="787A4EC7"/>
    <w:rsid w:val="787C79CC"/>
    <w:rsid w:val="788B41CA"/>
    <w:rsid w:val="78910043"/>
    <w:rsid w:val="789167C7"/>
    <w:rsid w:val="79067832"/>
    <w:rsid w:val="79982F3D"/>
    <w:rsid w:val="799E0E12"/>
    <w:rsid w:val="79B17B67"/>
    <w:rsid w:val="7A203C39"/>
    <w:rsid w:val="7A703130"/>
    <w:rsid w:val="7A741E1D"/>
    <w:rsid w:val="7AAC45EF"/>
    <w:rsid w:val="7AAF6BFF"/>
    <w:rsid w:val="7ADD43C7"/>
    <w:rsid w:val="7AEF64E6"/>
    <w:rsid w:val="7B672FAC"/>
    <w:rsid w:val="7B853133"/>
    <w:rsid w:val="7BC06BF5"/>
    <w:rsid w:val="7BC53067"/>
    <w:rsid w:val="7BDA6F85"/>
    <w:rsid w:val="7BEB622D"/>
    <w:rsid w:val="7C0B42F5"/>
    <w:rsid w:val="7C143ADE"/>
    <w:rsid w:val="7C7B5145"/>
    <w:rsid w:val="7CC54E52"/>
    <w:rsid w:val="7D4921AD"/>
    <w:rsid w:val="7DE4762D"/>
    <w:rsid w:val="7DEC78A1"/>
    <w:rsid w:val="7E1548CE"/>
    <w:rsid w:val="7E55141E"/>
    <w:rsid w:val="7E6F471E"/>
    <w:rsid w:val="7E9316C7"/>
    <w:rsid w:val="7E9B4FC9"/>
    <w:rsid w:val="7EA72420"/>
    <w:rsid w:val="7F6B595D"/>
    <w:rsid w:val="7F935A68"/>
    <w:rsid w:val="7FD64B5B"/>
    <w:rsid w:val="7FE20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Times New Roman"/>
      <w:color w:val="FF0000"/>
    </w:rPr>
  </w:style>
  <w:style w:type="paragraph" w:styleId="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Body Text Indent"/>
    <w:basedOn w:val="1"/>
    <w:qFormat/>
    <w:uiPriority w:val="99"/>
    <w:pPr>
      <w:ind w:firstLine="630"/>
    </w:pPr>
    <w:rPr>
      <w:rFonts w:ascii="Calibri" w:hAnsi="Calibri"/>
      <w:kern w:val="0"/>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qFormat/>
    <w:uiPriority w:val="0"/>
    <w:rPr>
      <w:sz w:val="21"/>
      <w:szCs w:val="21"/>
    </w:rPr>
  </w:style>
  <w:style w:type="character" w:customStyle="1" w:styleId="16">
    <w:name w:val="font11"/>
    <w:basedOn w:val="13"/>
    <w:qFormat/>
    <w:uiPriority w:val="0"/>
    <w:rPr>
      <w:rFonts w:hint="eastAsia" w:ascii="宋体" w:hAnsi="宋体" w:eastAsia="宋体" w:cs="宋体"/>
      <w:color w:val="FF0000"/>
      <w:sz w:val="21"/>
      <w:szCs w:val="21"/>
      <w:u w:val="none"/>
    </w:rPr>
  </w:style>
  <w:style w:type="paragraph" w:styleId="17">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8">
    <w:name w:val="字母编号列项（一级）"/>
    <w:qFormat/>
    <w:uiPriority w:val="99"/>
    <w:pPr>
      <w:numPr>
        <w:ilvl w:val="2"/>
        <w:numId w:val="1"/>
      </w:numPr>
      <w:jc w:val="both"/>
    </w:pPr>
    <w:rPr>
      <w:rFonts w:ascii="宋体" w:hAnsi="Times New Roman" w:eastAsia="宋体" w:cs="Times New Roman"/>
      <w:sz w:val="21"/>
      <w:lang w:val="en-US" w:eastAsia="zh-CN" w:bidi="ar-SA"/>
    </w:rPr>
  </w:style>
  <w:style w:type="paragraph" w:customStyle="1" w:styleId="19">
    <w:name w:val="正文文本首行缩进1"/>
    <w:basedOn w:val="2"/>
    <w:qFormat/>
    <w:uiPriority w:val="0"/>
    <w:pPr>
      <w:spacing w:line="360" w:lineRule="auto"/>
      <w:ind w:left="30" w:leftChars="30" w:firstLine="420" w:firstLineChars="100"/>
    </w:pPr>
    <w:rPr>
      <w:rFonts w:ascii="宋体" w:hAnsi="宋体"/>
      <w:sz w:val="24"/>
      <w:szCs w:val="18"/>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正文 A"/>
    <w:qFormat/>
    <w:uiPriority w:val="0"/>
    <w:pPr>
      <w:widowControl w:val="0"/>
      <w:jc w:val="both"/>
    </w:pPr>
    <w:rPr>
      <w:rFonts w:ascii="宋体" w:hAnsi="宋体" w:eastAsia="宋体" w:cs="宋体"/>
      <w:color w:val="000000"/>
      <w:sz w:val="34"/>
      <w:szCs w:val="34"/>
      <w:lang w:val="en-US" w:eastAsia="zh-CN" w:bidi="ar-SA"/>
    </w:rPr>
  </w:style>
  <w:style w:type="paragraph" w:styleId="22">
    <w:name w:val="List Paragraph"/>
    <w:basedOn w:val="1"/>
    <w:qFormat/>
    <w:uiPriority w:val="34"/>
    <w:pPr>
      <w:ind w:firstLine="420" w:firstLineChars="200"/>
    </w:pPr>
  </w:style>
  <w:style w:type="character" w:customStyle="1" w:styleId="23">
    <w:name w:val="NormalCharacter"/>
    <w:semiHidden/>
    <w:qFormat/>
    <w:uiPriority w:val="0"/>
  </w:style>
  <w:style w:type="character" w:customStyle="1" w:styleId="24">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6630</Words>
  <Characters>6816</Characters>
  <Lines>0</Lines>
  <Paragraphs>0</Paragraphs>
  <TotalTime>16</TotalTime>
  <ScaleCrop>false</ScaleCrop>
  <LinksUpToDate>false</LinksUpToDate>
  <CharactersWithSpaces>6974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2020-07-07T00:37:00Z</dcterms:created>
  <dc:creator>XX</dc:creator>
  <cp:lastModifiedBy>取个名字很麻烦</cp:lastModifiedBy>
  <cp:lastPrinted>2021-03-04T00:55:00Z</cp:lastPrinted>
  <dcterms:modified xsi:type="dcterms:W3CDTF">2026-05-29T00:55:16Z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EBAEE24468334590990EB0C0394DE062_13</vt:lpwstr>
  </property>
</Properties>
</file>