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A035F">
      <w:pPr>
        <w:pStyle w:val="2"/>
        <w:keepNext w:val="0"/>
        <w:keepLines w:val="0"/>
        <w:pageBreakBefore w:val="0"/>
        <w:widowControl/>
        <w:kinsoku/>
        <w:wordWrap/>
        <w:overflowPunct/>
        <w:topLinePunct w:val="0"/>
        <w:autoSpaceDE/>
        <w:autoSpaceDN/>
        <w:bidi w:val="0"/>
        <w:adjustRightInd/>
        <w:snapToGrid/>
        <w:spacing w:after="0" w:line="580" w:lineRule="exact"/>
        <w:ind w:left="0" w:leftChars="0"/>
        <w:jc w:val="both"/>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附件2</w:t>
      </w:r>
    </w:p>
    <w:p w14:paraId="4919BA22">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bookmarkStart w:id="0" w:name="OLE_LINK1"/>
      <w:r>
        <w:rPr>
          <w:rFonts w:hint="eastAsia" w:ascii="方正小标宋简体" w:hAnsi="方正小标宋简体" w:eastAsia="方正小标宋简体" w:cs="方正小标宋简体"/>
          <w:b w:val="0"/>
          <w:bCs w:val="0"/>
          <w:sz w:val="36"/>
          <w:szCs w:val="36"/>
          <w:lang w:val="en-US" w:eastAsia="zh-CN"/>
        </w:rPr>
        <w:t>经颅磁刺激仪技术参数</w:t>
      </w:r>
    </w:p>
    <w:bookmarkEnd w:id="0"/>
    <w:p w14:paraId="7DFD4BD8">
      <w:pPr>
        <w:pStyle w:val="2"/>
        <w:keepNext w:val="0"/>
        <w:keepLines w:val="0"/>
        <w:pageBreakBefore w:val="0"/>
        <w:widowControl/>
        <w:numPr>
          <w:ilvl w:val="0"/>
          <w:numId w:val="0"/>
        </w:numPr>
        <w:kinsoku/>
        <w:wordWrap/>
        <w:overflowPunct/>
        <w:topLinePunct w:val="0"/>
        <w:autoSpaceDE/>
        <w:autoSpaceDN/>
        <w:bidi w:val="0"/>
        <w:adjustRightInd/>
        <w:snapToGrid/>
        <w:spacing w:line="200" w:lineRule="exact"/>
        <w:ind w:left="0" w:leftChars="0"/>
        <w:jc w:val="both"/>
        <w:textAlignment w:val="auto"/>
        <w:rPr>
          <w:rFonts w:hint="eastAsia" w:ascii="方正仿宋简体" w:hAnsi="方正仿宋简体" w:eastAsia="方正仿宋简体" w:cs="方正仿宋简体"/>
          <w:b w:val="0"/>
          <w:bCs w:val="0"/>
          <w:kern w:val="2"/>
          <w:sz w:val="28"/>
          <w:szCs w:val="28"/>
          <w:lang w:val="en-US" w:eastAsia="zh-CN"/>
        </w:rPr>
      </w:pPr>
    </w:p>
    <w:p w14:paraId="37C91D6F">
      <w:pPr>
        <w:pStyle w:val="3"/>
        <w:rPr>
          <w:rFonts w:hint="eastAsia" w:ascii="方正仿宋简体" w:hAnsi="方正仿宋简体" w:eastAsia="方正仿宋简体" w:cs="方正仿宋简体"/>
          <w:sz w:val="32"/>
          <w:szCs w:val="32"/>
        </w:rPr>
      </w:pPr>
      <w:bookmarkStart w:id="1" w:name="OLE_LINK2"/>
      <w:r>
        <w:rPr>
          <w:rFonts w:hint="eastAsia" w:ascii="方正仿宋简体" w:hAnsi="方正仿宋简体" w:eastAsia="方正仿宋简体" w:cs="方正仿宋简体"/>
          <w:sz w:val="32"/>
          <w:szCs w:val="32"/>
        </w:rPr>
        <w:t>1、适用范围：适用于人体中枢神经和外周神经功能的检测、评定及治疗。</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2、最大磁感应强度≥</w:t>
      </w:r>
      <w:r>
        <w:rPr>
          <w:rFonts w:hint="eastAsia" w:ascii="方正仿宋简体" w:hAnsi="方正仿宋简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T。</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▲3、输出脉冲频率：0-100Hz连续可调，输出脉冲频率在1HZ以下，步长为0.1HZ，超过1HZ时，步长为1HZ，（提供投标产品制造厂家公开发布的产品图册或产品说明书或官网产品说明的截图证明）。</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4、磁感应强度最大变化率：10-50KT/s。</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5、脉冲上升时间：40-120μs。</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6、双向波单边脉冲宽度：100-200μs。</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7、刺激器主机具备按键可调整：刺激强度、刺激频率、刺激时间、间歇时间、治疗时间、治疗处方和单次刺激。</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▲8、操作系统软件中自带人体大脑解剖定位图及文字描述，辅助操作人员精准定位（提供国家认可的第三方检测机构出具的对社会具有证明效力的检测报告）。</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9、</w:t>
      </w:r>
      <w:r>
        <w:rPr>
          <w:rFonts w:hint="default" w:ascii="方正仿宋简体" w:hAnsi="方正仿宋简体" w:eastAsia="方正仿宋简体" w:cs="方正仿宋简体"/>
          <w:sz w:val="32"/>
          <w:szCs w:val="32"/>
        </w:rPr>
        <w:t>刺激器主机内置≥7英寸液晶显示屏，具备物理按键或触控操作界面，可调节治疗参数；主机支持脱离电脑PC端独立工作，并支持脱离液冷系统独立运行。</w:t>
      </w:r>
    </w:p>
    <w:p w14:paraId="26015FC7">
      <w:pPr>
        <w:pStyle w:val="3"/>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▲10、具备自动阈值检测功能。</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11、刺激线圈手柄处具有刺激强度大小调节旋钮，线圈有显示屏可显示刺激强度大小，同时具有温度显示。</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▲12、刺激线圈表面温度≤40℃，当线圈表面温度达到40℃时系统自动停机并过热报警。</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▲13、具备MEP模块，支持无线或有线传输，支持多种电生理评估，包括MT、MEP、CMCT、CSP、ICI/ICF和IHI/IHF 等。</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14、刺激线圈与刺激器主机及液冷系统可随意插拔设计，混冷技术：采用风冷+液冷双重制冷技术或者风冷+硅油冷双重制冷技术，并支持仪器24小时持续输出。(提供国家认可的第三方检测机构出具的对社会具有证明效力的检测报告)</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▲15、▲刺激线圈具备脉冲输出自动计数功能；刺激主机关键元器件（如电容）设计寿命≥3年或支持脉冲输出次数≥100万次。（以产品说明书或技术白皮书为准）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16、具备独立双人治疗功能，可独立调节每位患者的相关参数，至少包含刺激频率，刺激部位，刺激强度，治疗时间，串数。（提供国家认可的第三方检测机构出具的对社会具有证明效力的检测报告或软件截图）</w:t>
      </w:r>
      <w:r>
        <w:rPr>
          <w:rFonts w:hint="eastAsia" w:ascii="方正仿宋简体" w:hAnsi="方正仿宋简体" w:eastAsia="方正仿宋简体" w:cs="方正仿宋简体"/>
          <w:sz w:val="32"/>
          <w:szCs w:val="32"/>
          <w:lang w:eastAsia="zh-CN"/>
        </w:rPr>
        <w:t>。</w:t>
      </w:r>
    </w:p>
    <w:bookmarkEnd w:id="1"/>
    <w:p w14:paraId="6C7E4870">
      <w:pPr>
        <w:keepNext w:val="0"/>
        <w:keepLines w:val="0"/>
        <w:pageBreakBefore w:val="0"/>
        <w:widowControl w:val="0"/>
        <w:kinsoku/>
        <w:wordWrap/>
        <w:overflowPunct/>
        <w:topLinePunct w:val="0"/>
        <w:autoSpaceDE/>
        <w:autoSpaceDN/>
        <w:bidi w:val="0"/>
        <w:adjustRightInd/>
        <w:snapToGrid/>
        <w:spacing w:line="520" w:lineRule="exact"/>
        <w:ind w:left="0" w:leftChars="0"/>
        <w:jc w:val="both"/>
        <w:textAlignment w:val="auto"/>
        <w:rPr>
          <w:rFonts w:hint="eastAsia" w:ascii="方正小标宋简体" w:hAnsi="方正小标宋简体" w:eastAsia="方正小标宋简体" w:cs="方正小标宋简体"/>
          <w:b w:val="0"/>
          <w:bCs w:val="0"/>
          <w:sz w:val="36"/>
          <w:szCs w:val="36"/>
          <w:lang w:eastAsia="zh-CN"/>
        </w:rPr>
      </w:pPr>
    </w:p>
    <w:p w14:paraId="7D3343A2">
      <w:pPr>
        <w:pStyle w:val="2"/>
        <w:keepNext w:val="0"/>
        <w:keepLines w:val="0"/>
        <w:pageBreakBefore w:val="0"/>
        <w:kinsoku/>
        <w:wordWrap/>
        <w:overflowPunct/>
        <w:topLinePunct w:val="0"/>
        <w:autoSpaceDE/>
        <w:autoSpaceDN/>
        <w:bidi w:val="0"/>
        <w:adjustRightInd/>
        <w:snapToGrid/>
        <w:ind w:left="0" w:leftChars="0"/>
        <w:jc w:val="both"/>
        <w:rPr>
          <w:rFonts w:hint="eastAsia"/>
          <w:lang w:eastAsia="zh-CN"/>
        </w:rPr>
      </w:pPr>
    </w:p>
    <w:p w14:paraId="7B0060B7">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374AA99E">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52DBB2A4">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661C8C1C">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4EECD3B2">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4E0D0FAD">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17F02CAE">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lang w:val="en-US" w:eastAsia="zh-CN"/>
        </w:rPr>
      </w:pPr>
    </w:p>
    <w:p w14:paraId="56F69ED5">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中医经络检测仪</w:t>
      </w:r>
      <w:r>
        <w:rPr>
          <w:rFonts w:hint="eastAsia" w:ascii="方正小标宋简体" w:hAnsi="方正小标宋简体" w:eastAsia="方正小标宋简体" w:cs="方正小标宋简体"/>
          <w:b w:val="0"/>
          <w:bCs w:val="0"/>
          <w:sz w:val="36"/>
          <w:szCs w:val="36"/>
          <w:lang w:eastAsia="zh-CN"/>
        </w:rPr>
        <w:t>技术参数</w:t>
      </w:r>
    </w:p>
    <w:p w14:paraId="0DE72416">
      <w:pPr>
        <w:keepNext w:val="0"/>
        <w:keepLines w:val="0"/>
        <w:pageBreakBefore w:val="0"/>
        <w:widowControl/>
        <w:kinsoku/>
        <w:wordWrap/>
        <w:overflowPunct/>
        <w:topLinePunct w:val="0"/>
        <w:autoSpaceDE/>
        <w:autoSpaceDN/>
        <w:bidi w:val="0"/>
        <w:adjustRightInd/>
        <w:snapToGrid/>
        <w:spacing w:line="200" w:lineRule="exact"/>
        <w:ind w:left="0" w:leftChars="0"/>
        <w:jc w:val="both"/>
        <w:textAlignment w:val="auto"/>
        <w:rPr>
          <w:rFonts w:hint="eastAsia" w:ascii="方正仿宋简体" w:hAnsi="方正仿宋简体" w:eastAsia="方正仿宋简体" w:cs="方正仿宋简体"/>
          <w:b w:val="0"/>
          <w:bCs w:val="0"/>
          <w:kern w:val="2"/>
          <w:sz w:val="28"/>
          <w:szCs w:val="28"/>
          <w:lang w:val="en-US" w:eastAsia="zh-CN"/>
        </w:rPr>
      </w:pPr>
    </w:p>
    <w:p w14:paraId="6543E5D4">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bookmarkStart w:id="2" w:name="OLE_LINK3"/>
      <w:r>
        <w:rPr>
          <w:rFonts w:hint="eastAsia" w:ascii="方正仿宋简体" w:hAnsi="方正仿宋简体" w:eastAsia="方正仿宋简体" w:cs="方正仿宋简体"/>
          <w:sz w:val="32"/>
          <w:szCs w:val="32"/>
        </w:rPr>
        <w:t>1、经络穴诊采集单元</w:t>
      </w:r>
    </w:p>
    <w:p w14:paraId="3C88ABF2">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1.1、环境温度：5℃～40℃。环境湿度：≤80%。大气压力：760hPa～1060 hPa。</w:t>
      </w:r>
    </w:p>
    <w:p w14:paraId="77686D59">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1.2、供电电源：220V，50Hz。</w:t>
      </w:r>
    </w:p>
    <w:p w14:paraId="5C7C0E73">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1.3、设备测量的阻抗范围不小于100Ω～10KΩ；测量结果是连续显示，显示值与实际值的误差应≤±10%。设备的显示是阻抗值（Ω）。</w:t>
      </w:r>
    </w:p>
    <w:p w14:paraId="7B26E73A">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1.4、设备的检测电压为</w:t>
      </w:r>
      <w:r>
        <w:rPr>
          <w:rFonts w:hint="eastAsia" w:ascii="方正仿宋简体" w:hAnsi="方正仿宋简体" w:eastAsia="方正仿宋简体" w:cs="方正仿宋简体"/>
          <w:sz w:val="32"/>
          <w:szCs w:val="32"/>
          <w:lang w:val="en-US" w:eastAsia="zh-CN"/>
        </w:rPr>
        <w:t xml:space="preserve"> 6V～12V</w:t>
      </w:r>
      <w:r>
        <w:rPr>
          <w:rFonts w:hint="eastAsia" w:ascii="方正仿宋简体" w:hAnsi="方正仿宋简体" w:eastAsia="方正仿宋简体" w:cs="方正仿宋简体"/>
          <w:sz w:val="32"/>
          <w:szCs w:val="32"/>
        </w:rPr>
        <w:t>。</w:t>
      </w:r>
    </w:p>
    <w:p w14:paraId="7B1187CD">
      <w:pPr>
        <w:pStyle w:val="3"/>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lang w:val="en-US" w:eastAsia="zh-CN" w:bidi="ar-SA"/>
        </w:rPr>
      </w:pPr>
      <w:r>
        <w:rPr>
          <w:rFonts w:hint="eastAsia" w:ascii="方正仿宋简体" w:hAnsi="方正仿宋简体" w:eastAsia="方正仿宋简体" w:cs="方正仿宋简体"/>
          <w:sz w:val="32"/>
          <w:szCs w:val="32"/>
          <w:lang w:val="en-US" w:eastAsia="zh-CN" w:bidi="ar-SA"/>
        </w:rPr>
        <w:t>1.5、检测电流类型：直流或低频脉冲；最大输出电流≤0.5mA（峰值），确保人体接触安全。</w:t>
      </w:r>
    </w:p>
    <w:p w14:paraId="11B43E43">
      <w:pPr>
        <w:pStyle w:val="3"/>
        <w:keepNext w:val="0"/>
        <w:keepLines w:val="0"/>
        <w:pageBreakBefore w:val="0"/>
        <w:widowControl/>
        <w:kinsoku/>
        <w:wordWrap/>
        <w:overflowPunct/>
        <w:topLinePunct w:val="0"/>
        <w:autoSpaceDE/>
        <w:autoSpaceDN/>
        <w:bidi w:val="0"/>
        <w:adjustRightInd/>
        <w:snapToGrid/>
        <w:spacing w:line="240" w:lineRule="auto"/>
        <w:textAlignment w:val="auto"/>
        <w:rPr>
          <w:rFonts w:hint="eastAsia" w:eastAsia="宋体"/>
          <w:lang w:val="en-US" w:eastAsia="zh-CN"/>
        </w:rPr>
      </w:pPr>
    </w:p>
    <w:p w14:paraId="615A9F33">
      <w:pPr>
        <w:pStyle w:val="3"/>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1.6、检测电极的有效尺寸内径6mm～12mm</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±10%。</w:t>
      </w:r>
    </w:p>
    <w:p w14:paraId="7E8B500B">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1.7、辅助电极的有效面积应≥300mm2。</w:t>
      </w:r>
    </w:p>
    <w:p w14:paraId="5E474C86">
      <w:pPr>
        <w:pStyle w:val="3"/>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lang w:val="en-US" w:eastAsia="zh-CN" w:bidi="ar-SA"/>
        </w:rPr>
      </w:pPr>
      <w:r>
        <w:rPr>
          <w:rFonts w:hint="eastAsia" w:ascii="方正仿宋简体" w:hAnsi="方正仿宋简体" w:eastAsia="方正仿宋简体" w:cs="方正仿宋简体"/>
          <w:sz w:val="32"/>
          <w:szCs w:val="32"/>
          <w:lang w:val="en-US" w:eastAsia="zh-CN" w:bidi="ar-SA"/>
        </w:rPr>
        <w:t>1.8、主机测量回路内阻≤5Ω；辅助电极与导线连接总阻抗≤3Ω。</w:t>
      </w:r>
    </w:p>
    <w:p w14:paraId="57B7F7DC">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1.9、通过主机硬件设备连接计算机，在windows系统界面下显示人体十二条经络分别对应的穴位图形标示点及穴位位置确定点及文字描述位置确定点。</w:t>
      </w:r>
    </w:p>
    <w:p w14:paraId="0EE01D38">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1.10、通过主机硬件设备连接计算机，在windows系统界面下显示控制界面，按着相关控制键可控制主机附属探测采集器发出采集信号；采集器可以在软件命令下，采集到测定人体相关穴位的电压和电流值传输到主机进行相关数据软件程序的识别和比对并获得判比结论，最终获得检测报告。</w:t>
      </w:r>
    </w:p>
    <w:p w14:paraId="0248B6E0">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1.11、经络体征检测报告以数据或图表形式显示实测经络数据，规定正常体征标准值，对非正常体征进行描述和判断；中医未病评测报告提示人体相关脏腑功能趋势；单经分析报告显示人体每条经络虚实信息，中医脏腑关联器官和相对应的临床表现。</w:t>
      </w:r>
    </w:p>
    <w:p w14:paraId="0F25F3B6">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1.1</w:t>
      </w:r>
      <w:r>
        <w:rPr>
          <w:rFonts w:hint="eastAsia" w:ascii="方正仿宋简体" w:hAnsi="方正仿宋简体" w:eastAsia="方正仿宋简体" w:cs="方正仿宋简体"/>
          <w:sz w:val="32"/>
          <w:szCs w:val="32"/>
          <w:lang w:val="en-US" w:eastAsia="zh-CN"/>
        </w:rPr>
        <w:t>2</w:t>
      </w:r>
      <w:r>
        <w:rPr>
          <w:rFonts w:hint="eastAsia" w:ascii="方正仿宋简体" w:hAnsi="方正仿宋简体" w:eastAsia="方正仿宋简体" w:cs="方正仿宋简体"/>
          <w:sz w:val="32"/>
          <w:szCs w:val="32"/>
        </w:rPr>
        <w:t>、检测端口：在产品技术要求中主机依据型号分类兼容USB多级采集端口</w:t>
      </w:r>
      <w:r>
        <w:rPr>
          <w:rFonts w:hint="eastAsia" w:ascii="方正仿宋简体" w:hAnsi="方正仿宋简体" w:eastAsia="方正仿宋简体" w:cs="方正仿宋简体"/>
          <w:sz w:val="32"/>
          <w:szCs w:val="32"/>
          <w:lang w:eastAsia="zh-CN"/>
        </w:rPr>
        <w:t>。</w:t>
      </w:r>
    </w:p>
    <w:p w14:paraId="25BD52F1">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1.1</w:t>
      </w:r>
      <w:r>
        <w:rPr>
          <w:rFonts w:hint="eastAsia" w:ascii="方正仿宋简体" w:hAnsi="方正仿宋简体" w:eastAsia="方正仿宋简体" w:cs="方正仿宋简体"/>
          <w:sz w:val="32"/>
          <w:szCs w:val="32"/>
          <w:lang w:val="en-US" w:eastAsia="zh-CN"/>
        </w:rPr>
        <w:t>3</w:t>
      </w:r>
      <w:r>
        <w:rPr>
          <w:rFonts w:hint="eastAsia" w:ascii="方正仿宋简体" w:hAnsi="方正仿宋简体" w:eastAsia="方正仿宋简体" w:cs="方正仿宋简体"/>
          <w:sz w:val="32"/>
          <w:szCs w:val="32"/>
        </w:rPr>
        <w:t>、配备多参数恒压采集器：可对压力、皮肤弹性刚度等检测因素进行量化并参与检测结果运算。</w:t>
      </w:r>
    </w:p>
    <w:p w14:paraId="10B148B2">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1.1</w:t>
      </w:r>
      <w:r>
        <w:rPr>
          <w:rFonts w:hint="eastAsia" w:ascii="方正仿宋简体" w:hAnsi="方正仿宋简体" w:eastAsia="方正仿宋简体" w:cs="方正仿宋简体"/>
          <w:sz w:val="32"/>
          <w:szCs w:val="32"/>
          <w:lang w:val="en-US" w:eastAsia="zh-CN"/>
        </w:rPr>
        <w:t>4</w:t>
      </w:r>
      <w:r>
        <w:rPr>
          <w:rFonts w:hint="eastAsia" w:ascii="方正仿宋简体" w:hAnsi="方正仿宋简体" w:eastAsia="方正仿宋简体" w:cs="方正仿宋简体"/>
          <w:sz w:val="32"/>
          <w:szCs w:val="32"/>
        </w:rPr>
        <w:t>、通过采集器对人体的12条经络的24个原穴进行真实的探测，对经络穴位信息进行采集、判读、分析，可以诊察人体脏腑的气血、阴阳、生理与病理的状况，判断人体功能及病理变化。最终对人体的健康状况给出一个综合评估报告，病人的经络检测分析结果报告单由“中医未病（亚健康）检测报告、经络脏腑虚实分析报告、经络熵分析报告”组成</w:t>
      </w:r>
      <w:r>
        <w:rPr>
          <w:rFonts w:hint="eastAsia" w:ascii="方正仿宋简体" w:hAnsi="方正仿宋简体" w:eastAsia="方正仿宋简体" w:cs="方正仿宋简体"/>
          <w:sz w:val="32"/>
          <w:szCs w:val="32"/>
          <w:lang w:eastAsia="zh-CN"/>
        </w:rPr>
        <w:t>。</w:t>
      </w:r>
    </w:p>
    <w:p w14:paraId="16CE401E">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2、配中医体质辨识问诊采集单元：</w:t>
      </w:r>
    </w:p>
    <w:p w14:paraId="21309734">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2.1、通过经络检测得出客观的体质提示和脏腑辨证提示（无需人工问诊）</w:t>
      </w:r>
    </w:p>
    <w:p w14:paraId="015A977F">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2.2、可以对中医九大体质做辨识判定。</w:t>
      </w:r>
    </w:p>
    <w:p w14:paraId="6FC5E8B0">
      <w:pPr>
        <w:pStyle w:val="3"/>
        <w:keepNext w:val="0"/>
        <w:keepLines w:val="0"/>
        <w:pageBreakBefore w:val="0"/>
        <w:widowControl/>
        <w:kinsoku/>
        <w:wordWrap/>
        <w:overflowPunct/>
        <w:topLinePunct w:val="0"/>
        <w:autoSpaceDE/>
        <w:autoSpaceDN/>
        <w:bidi w:val="0"/>
        <w:adjustRightInd/>
        <w:snapToGrid/>
        <w:spacing w:line="240" w:lineRule="auto"/>
        <w:textAlignment w:val="auto"/>
      </w:pPr>
      <w:r>
        <w:rPr>
          <w:rFonts w:hint="eastAsia" w:ascii="方正仿宋简体" w:hAnsi="方正仿宋简体" w:eastAsia="方正仿宋简体" w:cs="方正仿宋简体"/>
          <w:sz w:val="32"/>
          <w:szCs w:val="32"/>
        </w:rPr>
        <w:t>2.3、对</w:t>
      </w:r>
      <w:r>
        <w:rPr>
          <w:rFonts w:hint="eastAsia" w:ascii="方正仿宋简体" w:hAnsi="方正仿宋简体" w:eastAsia="方正仿宋简体" w:cs="方正仿宋简体"/>
          <w:sz w:val="32"/>
          <w:szCs w:val="32"/>
          <w:lang w:val="en-US" w:eastAsia="zh-CN"/>
        </w:rPr>
        <w:t>9</w:t>
      </w:r>
      <w:r>
        <w:rPr>
          <w:rFonts w:hint="eastAsia" w:ascii="方正仿宋简体" w:hAnsi="方正仿宋简体" w:eastAsia="方正仿宋简体" w:cs="方正仿宋简体"/>
          <w:sz w:val="32"/>
          <w:szCs w:val="32"/>
        </w:rPr>
        <w:t>种</w:t>
      </w:r>
      <w:r>
        <w:rPr>
          <w:rFonts w:hint="eastAsia" w:ascii="方正仿宋简体" w:hAnsi="方正仿宋简体" w:eastAsia="方正仿宋简体" w:cs="方正仿宋简体"/>
          <w:sz w:val="32"/>
          <w:szCs w:val="32"/>
          <w:lang w:val="en-US" w:eastAsia="zh-CN"/>
        </w:rPr>
        <w:t>以上</w:t>
      </w:r>
      <w:r>
        <w:rPr>
          <w:rFonts w:hint="eastAsia" w:ascii="方正仿宋简体" w:hAnsi="方正仿宋简体" w:eastAsia="方正仿宋简体" w:cs="方正仿宋简体"/>
          <w:sz w:val="32"/>
          <w:szCs w:val="32"/>
        </w:rPr>
        <w:t>体质</w:t>
      </w:r>
      <w:r>
        <w:rPr>
          <w:rFonts w:hint="eastAsia" w:ascii="方正仿宋简体" w:hAnsi="方正仿宋简体" w:eastAsia="方正仿宋简体" w:cs="方正仿宋简体"/>
          <w:sz w:val="32"/>
          <w:szCs w:val="32"/>
          <w:lang w:val="en-US" w:eastAsia="zh-CN"/>
        </w:rPr>
        <w:t>辨识，</w:t>
      </w:r>
      <w:r>
        <w:rPr>
          <w:rFonts w:hint="eastAsia"/>
        </w:rPr>
        <w:t>并支持兼夹体质的复合分析判断。</w:t>
      </w:r>
    </w:p>
    <w:p w14:paraId="1A2EB3A1">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2.4、提供</w:t>
      </w:r>
      <w:r>
        <w:rPr>
          <w:rFonts w:hint="eastAsia" w:ascii="方正仿宋简体" w:hAnsi="方正仿宋简体" w:eastAsia="方正仿宋简体" w:cs="方正仿宋简体"/>
          <w:sz w:val="32"/>
          <w:szCs w:val="32"/>
          <w:lang w:val="en-US" w:eastAsia="zh-CN"/>
        </w:rPr>
        <w:t>多</w:t>
      </w:r>
      <w:r>
        <w:rPr>
          <w:rFonts w:hint="eastAsia" w:ascii="方正仿宋简体" w:hAnsi="方正仿宋简体" w:eastAsia="方正仿宋简体" w:cs="方正仿宋简体"/>
          <w:sz w:val="32"/>
          <w:szCs w:val="32"/>
        </w:rPr>
        <w:t>种中医体质辨识版本，包括</w:t>
      </w:r>
      <w:r>
        <w:rPr>
          <w:rFonts w:hint="eastAsia" w:ascii="方正仿宋简体" w:hAnsi="方正仿宋简体" w:eastAsia="方正仿宋简体" w:cs="方正仿宋简体"/>
          <w:sz w:val="32"/>
          <w:szCs w:val="32"/>
          <w:lang w:val="en-US" w:eastAsia="zh-CN"/>
        </w:rPr>
        <w:t>但不限于</w:t>
      </w:r>
      <w:r>
        <w:rPr>
          <w:rFonts w:hint="eastAsia" w:ascii="方正仿宋简体" w:hAnsi="方正仿宋简体" w:eastAsia="方正仿宋简体" w:cs="方正仿宋简体"/>
          <w:sz w:val="32"/>
          <w:szCs w:val="32"/>
        </w:rPr>
        <w:t>成人版、老年版、孕妇版、儿童版、中医五态人格版。</w:t>
      </w:r>
    </w:p>
    <w:p w14:paraId="1504D055">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2.5、中医体质检测结果综合说明，包含体质成因，形体特征，心里特征，发病倾向，常见表现，重点人群，对外界环境适应能力，日常表现等常规提示。</w:t>
      </w:r>
    </w:p>
    <w:p w14:paraId="0D9999CA">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2.6、中医体质检测健康建议，包含营养膳食，用药参考，中医保健建议，精神调养方案，饮食建议，药膳调补，运动建议，健康生活提示，针对儿童增加起居调养建议，小儿推拿康复建议。</w:t>
      </w:r>
      <w:bookmarkEnd w:id="2"/>
    </w:p>
    <w:p w14:paraId="7BE7C586">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二.配置清单：</w:t>
      </w:r>
    </w:p>
    <w:p w14:paraId="75B412F0">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硬件配置</w:t>
      </w:r>
    </w:p>
    <w:p w14:paraId="2EC44AED">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1、主机一台</w:t>
      </w:r>
    </w:p>
    <w:p w14:paraId="205751D8">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2、多参数恒压探测极体一只</w:t>
      </w:r>
    </w:p>
    <w:p w14:paraId="79AE891D">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3、传导极体一只</w:t>
      </w:r>
    </w:p>
    <w:p w14:paraId="29EFEA62">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4、配置高清激光打印机一台</w:t>
      </w:r>
    </w:p>
    <w:p w14:paraId="40B62410">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软件配置</w:t>
      </w:r>
    </w:p>
    <w:p w14:paraId="1167C0F7">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1、中医经络检测分析系统</w:t>
      </w:r>
    </w:p>
    <w:p w14:paraId="71300DA0">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2、中医体质辨识五大系统</w:t>
      </w:r>
    </w:p>
    <w:p w14:paraId="67AF29FD">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3、移动终端实时在线互动系统</w:t>
      </w:r>
    </w:p>
    <w:p w14:paraId="443B37AE">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4、智能AI辩证系统；智能开方系统</w:t>
      </w:r>
    </w:p>
    <w:p w14:paraId="18695EFF">
      <w:pPr>
        <w:pStyle w:val="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5、中医大数据管理系统</w:t>
      </w:r>
    </w:p>
    <w:p w14:paraId="6719E0C6">
      <w:pPr>
        <w:pStyle w:val="8"/>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sz w:val="32"/>
          <w:szCs w:val="32"/>
          <w:lang w:val="en-US" w:eastAsia="zh-CN"/>
        </w:rPr>
      </w:pPr>
    </w:p>
    <w:p w14:paraId="24AAA700">
      <w:bookmarkStart w:id="3" w:name="_GoBack"/>
      <w:bookmarkEnd w:id="3"/>
    </w:p>
    <w:sectPr>
      <w:headerReference r:id="rId3" w:type="default"/>
      <w:footerReference r:id="rId4" w:type="default"/>
      <w:pgSz w:w="12240" w:h="15840"/>
      <w:pgMar w:top="2154" w:right="1474" w:bottom="2041" w:left="1587" w:header="720" w:footer="720" w:gutter="0"/>
      <w:lnNumType w:countBy="0" w:distance="36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方正黑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312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8C6BBC">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F8C6BBC">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C056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01A5A"/>
    <w:rsid w:val="15D01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widowControl/>
      <w:adjustRightInd/>
      <w:spacing w:after="120" w:line="240" w:lineRule="auto"/>
    </w:pPr>
    <w:rPr>
      <w:rFonts w:hint="default" w:ascii="Wingdings" w:hAnsi="Wingdings"/>
      <w:kern w:val="2"/>
      <w:sz w:val="21"/>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null10"/>
    <w:hidden/>
    <w:qFormat/>
    <w:uiPriority w:val="0"/>
    <w:rPr>
      <w:rFonts w:hint="eastAsia" w:ascii="微软雅黑 Light" w:hAnsi="微软雅黑 Light" w:eastAsia="微软雅黑 Light" w:cs="Times New Roman"/>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2026-08-25T09:04:00Z</dcterms:created>
  <dc:creator>取个名字很麻烦</dc:creator>
  <cp:lastModifiedBy>取个名字很麻烦</cp:lastModifiedBy>
  <dcterms:modified xsi:type="dcterms:W3CDTF">2026-08-25T09:04:51Z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326FE133210A4CC68E24B09CDB84D8CC_11</vt:lpwstr>
  </property>
  <property fmtid="{D5CDD505-2E9C-101B-9397-08002B2CF9AE}" pid="4" name="KSOTemplateDocerSaveRecord">
    <vt:lpwstr>eyJoZGlkIjoiOTU5NmE1ZjM2ZDMxNzZjOWUwYzNjMGMzMTY5ZmE4MmIiLCJ1c2VySWQiOiIzMTM5MTY0NzcifQ==</vt:lpwstr>
  </property>
</Properties>
</file>