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880" w:firstLineChars="200"/>
        <w:jc w:val="center"/>
        <w:textAlignment w:val="baseline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vertAlign w:val="baseli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vertAlign w:val="baseline"/>
          <w:lang w:val="en-US" w:eastAsia="zh-CN" w:bidi="ar"/>
        </w:rPr>
        <w:t>医用控温仪技术参数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1、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水温温度控制范围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4-40℃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2、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升温/降温双重功能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升温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范围：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2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6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-40℃与降温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范围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4-2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5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℃双重功能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3、空载平均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降温速度与升温速度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：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平均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降温速度≥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1.3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℃/分钟；平均升温速度≥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0.8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℃/分钟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负载最大平均降温速度与升温速度：平均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降温速度≥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2.9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℃/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h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；平均升温速度≥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1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℃/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h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4、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体温监测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具有体表温度和体腔温度两种专用探头，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目标温度设置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范围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：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降温30-40℃，升温30-37℃，监测精度±0.1℃。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体温监测报警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双路体温监测报警均可同时独立设置体温下限和（或）体温上限，体温超限时报警并停止输出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5、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输出控制方式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：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双路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输出，左右分别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独立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控制，毯帽可同时工作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6、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高亮度LCD中文及图标显示，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实体参数按钮按键，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简洁明确，方便夜间及紧急情况下使用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7、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固化程序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: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内置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至少9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个常用固化程序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，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方便临床操作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8、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定时范围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: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1-99小时或长期运行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9、</w:t>
      </w:r>
      <w:r>
        <w:rPr>
          <w:rFonts w:hint="eastAsia" w:ascii="方正仿宋简体" w:hAnsi="方正仿宋简体" w:eastAsia="方正仿宋简体" w:cs="方正仿宋简体"/>
          <w:bCs/>
          <w:color w:val="auto"/>
          <w:sz w:val="32"/>
          <w:szCs w:val="32"/>
        </w:rPr>
        <w:t>具有程序运行</w:t>
      </w:r>
      <w:r>
        <w:rPr>
          <w:rFonts w:hint="eastAsia" w:ascii="方正仿宋简体" w:hAnsi="方正仿宋简体" w:eastAsia="方正仿宋简体" w:cs="方正仿宋简体"/>
          <w:bCs/>
          <w:color w:val="auto"/>
          <w:sz w:val="32"/>
          <w:szCs w:val="32"/>
          <w:lang w:val="en-US" w:eastAsia="zh-CN"/>
        </w:rPr>
        <w:t>记录</w:t>
      </w:r>
      <w:r>
        <w:rPr>
          <w:rFonts w:hint="eastAsia" w:ascii="方正仿宋简体" w:hAnsi="方正仿宋简体" w:eastAsia="方正仿宋简体" w:cs="方正仿宋简体"/>
          <w:bCs/>
          <w:color w:val="auto"/>
          <w:sz w:val="32"/>
          <w:szCs w:val="32"/>
        </w:rPr>
        <w:t>功能，可导出治疗时间，</w:t>
      </w:r>
      <w:r>
        <w:rPr>
          <w:rFonts w:hint="eastAsia" w:ascii="方正仿宋简体" w:hAnsi="方正仿宋简体" w:eastAsia="方正仿宋简体" w:cs="方正仿宋简体"/>
          <w:bCs/>
          <w:color w:val="auto"/>
          <w:sz w:val="32"/>
          <w:szCs w:val="32"/>
          <w:lang w:val="en-US" w:eastAsia="zh-CN"/>
        </w:rPr>
        <w:t>治疗</w:t>
      </w:r>
      <w:r>
        <w:rPr>
          <w:rFonts w:hint="eastAsia" w:ascii="方正仿宋简体" w:hAnsi="方正仿宋简体" w:eastAsia="方正仿宋简体" w:cs="方正仿宋简体"/>
          <w:bCs/>
          <w:color w:val="auto"/>
          <w:sz w:val="32"/>
          <w:szCs w:val="32"/>
        </w:rPr>
        <w:t>模式等参数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，方便日常治疗管理和开展科研项目，也可帮助避免医疗纠纷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10、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外壳采用优质钣金一次成型，并做防锈喷漆处理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，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主机附带毯帽存储篮，方便毯帽的收纳管理，提高毯帽的使用寿命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11、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整机体积小，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高度≥90cm，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方便在病床间尤其是ICU移动使用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12、设备铭牌标示使用期限不低于9年。</w:t>
      </w:r>
    </w:p>
    <w:p>
      <w:pPr>
        <w:pStyle w:val="2"/>
        <w:rPr>
          <w:rFonts w:hint="eastAsia"/>
          <w:b/>
          <w:sz w:val="30"/>
          <w:szCs w:val="30"/>
          <w:lang w:val="en-US" w:eastAsia="zh-CN"/>
        </w:rPr>
      </w:pPr>
    </w:p>
    <w:p>
      <w:pPr>
        <w:pStyle w:val="2"/>
        <w:rPr>
          <w:rFonts w:hint="eastAsia"/>
          <w:b/>
          <w:sz w:val="30"/>
          <w:szCs w:val="30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3D2F78"/>
    <w:rsid w:val="453D2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nhideWhenUsed/>
    <w:qFormat/>
    <w:uiPriority w:val="99"/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2022-07-27T01:43:00Z</dcterms:created>
  <dc:creator>阿白</dc:creator>
  <cp:lastModifiedBy>阿白</cp:lastModifiedBy>
  <dcterms:modified xsi:type="dcterms:W3CDTF">2022-07-27T01:43:25Z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