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default"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default"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default"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w:t>
      </w: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采购环保检测服务公司项目</w:t>
      </w: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eastAsia" w:ascii="宋体" w:hAnsi="宋体" w:eastAsia="宋体" w:cs="宋体"/>
          <w:i w:val="0"/>
          <w:caps w:val="0"/>
          <w:color w:val="000000"/>
          <w:spacing w:val="8"/>
          <w:sz w:val="52"/>
          <w:szCs w:val="52"/>
          <w:shd w:val="clear" w:color="auto" w:fill="FFFFFF"/>
        </w:rPr>
      </w:pPr>
    </w:p>
    <w:p>
      <w:pPr>
        <w:pStyle w:val="8"/>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 选 文 件 </w:t>
      </w: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pPr>
        <w:pStyle w:val="8"/>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Style w:val="11"/>
          <w:rFonts w:hint="eastAsia" w:ascii="方正仿宋简体" w:hAnsi="方正仿宋简体" w:eastAsia="方正仿宋简体" w:cs="方正仿宋简体"/>
          <w:b/>
          <w:bCs w:val="0"/>
          <w:i w:val="0"/>
          <w:caps w:val="0"/>
          <w:color w:val="333333"/>
          <w:spacing w:val="8"/>
          <w:sz w:val="30"/>
          <w:szCs w:val="30"/>
          <w:shd w:val="clear" w:color="auto" w:fill="FFFFFF"/>
        </w:rPr>
      </w:pP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11"/>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11"/>
          <w:rFonts w:hint="eastAsia" w:ascii="方正仿宋简体" w:hAnsi="方正仿宋简体" w:eastAsia="方正仿宋简体" w:cs="方正仿宋简体"/>
          <w:b/>
          <w:bCs w:val="0"/>
          <w:i w:val="0"/>
          <w:caps w:val="0"/>
          <w:color w:val="333333"/>
          <w:spacing w:val="8"/>
          <w:sz w:val="30"/>
          <w:szCs w:val="30"/>
          <w:shd w:val="clear" w:color="auto" w:fill="FFFFFF"/>
        </w:rPr>
        <w:t>医院</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Fonts w:hint="default" w:ascii="微软雅黑" w:hAnsi="微软雅黑" w:eastAsia="微软雅黑" w:cs="微软雅黑"/>
          <w:i w:val="0"/>
          <w:caps w:val="0"/>
          <w:color w:val="333333"/>
          <w:spacing w:val="8"/>
          <w:sz w:val="25"/>
          <w:szCs w:val="25"/>
          <w:lang w:val="en-US"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2</w:t>
      </w:r>
      <w:r>
        <w:rPr>
          <w:rFonts w:hint="eastAsia" w:ascii="微软雅黑" w:hAnsi="微软雅黑" w:eastAsia="微软雅黑" w:cs="微软雅黑"/>
          <w:i w:val="0"/>
          <w:caps w:val="0"/>
          <w:color w:val="333333"/>
          <w:spacing w:val="8"/>
          <w:sz w:val="25"/>
          <w:szCs w:val="25"/>
          <w:lang w:val="en-US" w:eastAsia="zh-CN"/>
        </w:rPr>
        <w:t>年</w:t>
      </w:r>
      <w:r>
        <w:rPr>
          <w:rFonts w:hint="default" w:ascii="微软雅黑" w:hAnsi="微软雅黑" w:eastAsia="微软雅黑" w:cs="微软雅黑"/>
          <w:i w:val="0"/>
          <w:caps w:val="0"/>
          <w:color w:val="333333"/>
          <w:spacing w:val="8"/>
          <w:sz w:val="25"/>
          <w:szCs w:val="25"/>
          <w:lang w:val="en-US" w:eastAsia="zh-CN"/>
        </w:rPr>
        <w:t>11</w:t>
      </w:r>
      <w:r>
        <w:rPr>
          <w:rFonts w:hint="eastAsia" w:ascii="微软雅黑" w:hAnsi="微软雅黑" w:eastAsia="微软雅黑" w:cs="微软雅黑"/>
          <w:i w:val="0"/>
          <w:caps w:val="0"/>
          <w:color w:val="333333"/>
          <w:spacing w:val="8"/>
          <w:sz w:val="25"/>
          <w:szCs w:val="25"/>
          <w:lang w:val="en-US" w:eastAsia="zh-CN"/>
        </w:rPr>
        <w:t>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pPr>
        <w:rPr>
          <w:rFonts w:hint="eastAsia"/>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348"/>
        <w:gridCol w:w="79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序号</w:t>
            </w:r>
          </w:p>
        </w:tc>
        <w:tc>
          <w:tcPr>
            <w:tcW w:w="1348"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项  目</w:t>
            </w:r>
          </w:p>
        </w:tc>
        <w:tc>
          <w:tcPr>
            <w:tcW w:w="7971" w:type="dxa"/>
            <w:tcBorders>
              <w:top w:val="single" w:color="auto" w:sz="6" w:space="0"/>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成都市青白江区中医院</w:t>
            </w:r>
            <w:r>
              <w:rPr>
                <w:rFonts w:hint="eastAsia" w:ascii="宋体" w:hAnsi="宋体" w:eastAsia="宋体" w:cs="宋体"/>
                <w:i w:val="0"/>
                <w:caps w:val="0"/>
                <w:color w:val="333333"/>
                <w:spacing w:val="8"/>
                <w:sz w:val="18"/>
                <w:szCs w:val="18"/>
              </w:rPr>
              <w:t>医院</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成都市青白江区华逸中路1372号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20221129-1</w:t>
            </w:r>
            <w:r>
              <w:rPr>
                <w:rFonts w:hint="eastAsia" w:ascii="宋体" w:hAnsi="宋体" w:eastAsia="宋体" w:cs="宋体"/>
                <w:i w:val="0"/>
                <w:caps w:val="0"/>
                <w:color w:val="333333"/>
                <w:spacing w:val="8"/>
                <w:sz w:val="18"/>
                <w:szCs w:val="18"/>
                <w:lang w:val="en-US" w:eastAsia="zh-CN"/>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348" w:type="dxa"/>
            <w:vMerge w:val="restart"/>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348" w:type="dxa"/>
            <w:vMerge w:val="continue"/>
            <w:tcBorders>
              <w:top w:val="nil"/>
              <w:left w:val="nil"/>
              <w:bottom w:val="single" w:color="auto" w:sz="6" w:space="0"/>
              <w:right w:val="single" w:color="auto" w:sz="6" w:space="0"/>
            </w:tcBorders>
            <w:noWrap w:val="0"/>
            <w:tcMar>
              <w:left w:w="105" w:type="dxa"/>
              <w:right w:w="105" w:type="dxa"/>
            </w:tcMar>
            <w:vAlign w:val="center"/>
          </w:tcPr>
          <w:p>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cs="宋体"/>
                <w:i w:val="0"/>
                <w:caps w:val="0"/>
                <w:color w:val="auto"/>
                <w:spacing w:val="8"/>
                <w:sz w:val="18"/>
                <w:szCs w:val="18"/>
                <w:lang w:val="en-US" w:eastAsia="zh-CN"/>
              </w:rPr>
              <w:t>控制价为</w:t>
            </w:r>
            <w:r>
              <w:rPr>
                <w:rFonts w:hint="eastAsia" w:ascii="宋体" w:hAnsi="宋体" w:eastAsia="宋体" w:cs="宋体"/>
                <w:i w:val="0"/>
                <w:caps w:val="0"/>
                <w:color w:val="auto"/>
                <w:spacing w:val="8"/>
                <w:sz w:val="18"/>
                <w:szCs w:val="18"/>
                <w:lang w:val="en-US" w:eastAsia="zh-CN"/>
              </w:rPr>
              <w:t>：</w:t>
            </w:r>
            <w:r>
              <w:rPr>
                <w:rFonts w:hint="default" w:ascii="宋体" w:hAnsi="宋体" w:cs="宋体"/>
                <w:i w:val="0"/>
                <w:caps w:val="0"/>
                <w:color w:val="auto"/>
                <w:spacing w:val="8"/>
                <w:sz w:val="18"/>
                <w:szCs w:val="18"/>
                <w:lang w:val="en-US" w:eastAsia="zh-CN"/>
              </w:rPr>
              <w:t>28000.00</w:t>
            </w:r>
            <w:r>
              <w:rPr>
                <w:rFonts w:hint="default" w:ascii="宋体" w:hAnsi="宋体" w:eastAsia="宋体" w:cs="宋体"/>
                <w:i w:val="0"/>
                <w:caps w:val="0"/>
                <w:color w:val="auto"/>
                <w:spacing w:val="8"/>
                <w:sz w:val="18"/>
                <w:szCs w:val="18"/>
                <w:lang w:val="en-US" w:eastAsia="zh-CN"/>
              </w:rPr>
              <w:t>元</w:t>
            </w:r>
            <w:r>
              <w:rPr>
                <w:rFonts w:hint="default" w:ascii="宋体" w:hAnsi="宋体" w:cs="宋体"/>
                <w:i w:val="0"/>
                <w:caps w:val="0"/>
                <w:color w:val="auto"/>
                <w:spacing w:val="8"/>
                <w:sz w:val="18"/>
                <w:szCs w:val="18"/>
                <w:lang w:val="en-US" w:eastAsia="zh-CN"/>
              </w:rPr>
              <w:t>/</w:t>
            </w:r>
            <w:r>
              <w:rPr>
                <w:rFonts w:hint="eastAsia" w:ascii="宋体" w:hAnsi="宋体" w:cs="宋体"/>
                <w:i w:val="0"/>
                <w:caps w:val="0"/>
                <w:color w:val="auto"/>
                <w:spacing w:val="8"/>
                <w:sz w:val="18"/>
                <w:szCs w:val="18"/>
                <w:lang w:val="en-US" w:eastAsia="zh-CN"/>
              </w:rPr>
              <w:t>年</w:t>
            </w:r>
            <w:r>
              <w:rPr>
                <w:rFonts w:hint="default" w:ascii="宋体" w:hAnsi="宋体" w:eastAsia="宋体" w:cs="宋体"/>
                <w:i w:val="0"/>
                <w:caps w:val="0"/>
                <w:color w:val="auto"/>
                <w:spacing w:val="8"/>
                <w:sz w:val="18"/>
                <w:szCs w:val="18"/>
                <w:lang w:val="en-US" w:eastAsia="zh-CN"/>
              </w:rPr>
              <w:t>（</w:t>
            </w:r>
            <w:r>
              <w:rPr>
                <w:rFonts w:hint="eastAsia" w:ascii="宋体" w:hAnsi="宋体" w:eastAsia="宋体" w:cs="宋体"/>
                <w:i w:val="0"/>
                <w:caps w:val="0"/>
                <w:color w:val="auto"/>
                <w:spacing w:val="8"/>
                <w:sz w:val="18"/>
                <w:szCs w:val="18"/>
                <w:lang w:val="en-US" w:eastAsia="zh-CN"/>
              </w:rPr>
              <w:t>包</w:t>
            </w:r>
            <w:r>
              <w:rPr>
                <w:rFonts w:hint="eastAsia" w:ascii="宋体" w:hAnsi="宋体" w:cs="宋体"/>
                <w:i w:val="0"/>
                <w:caps w:val="0"/>
                <w:color w:val="auto"/>
                <w:spacing w:val="8"/>
                <w:sz w:val="18"/>
                <w:szCs w:val="18"/>
                <w:lang w:val="en-US" w:eastAsia="zh-CN"/>
              </w:rPr>
              <w:t>含税费等，不再产生其他费用。</w:t>
            </w:r>
            <w:r>
              <w:rPr>
                <w:rFonts w:hint="default" w:ascii="宋体" w:hAnsi="宋体" w:cs="宋体"/>
                <w:i w:val="0"/>
                <w:caps w:val="0"/>
                <w:color w:val="auto"/>
                <w:spacing w:val="8"/>
                <w:sz w:val="18"/>
                <w:szCs w:val="18"/>
                <w:lang w:val="en-US" w:eastAsia="zh-CN"/>
              </w:rPr>
              <w:t>注：超过采购控制价的报价无效）</w:t>
            </w:r>
            <w:r>
              <w:rPr>
                <w:rFonts w:hint="eastAsia" w:ascii="宋体" w:hAnsi="宋体" w:eastAsia="宋体" w:cs="宋体"/>
                <w:i w:val="0"/>
                <w:caps w:val="0"/>
                <w:color w:val="auto"/>
                <w:spacing w:val="8"/>
                <w:sz w:val="18"/>
                <w:szCs w:val="18"/>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eastAsia" w:ascii="宋体" w:hAnsi="宋体" w:cs="宋体"/>
                <w:i w:val="0"/>
                <w:caps w:val="0"/>
                <w:color w:val="auto"/>
                <w:spacing w:val="8"/>
                <w:sz w:val="18"/>
                <w:szCs w:val="18"/>
                <w:lang w:val="en-US" w:eastAsia="zh-CN"/>
              </w:rPr>
              <w:t>6</w:t>
            </w:r>
            <w:r>
              <w:rPr>
                <w:rFonts w:hint="eastAsia" w:ascii="宋体" w:hAnsi="宋体" w:eastAsia="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auto"/>
                <w:spacing w:val="8"/>
                <w:sz w:val="18"/>
                <w:szCs w:val="18"/>
                <w:lang w:val="en-US"/>
              </w:rPr>
            </w:pPr>
            <w:r>
              <w:rPr>
                <w:rFonts w:hint="eastAsia" w:ascii="宋体" w:hAnsi="宋体" w:eastAsia="宋体" w:cs="宋体"/>
                <w:i w:val="0"/>
                <w:caps w:val="0"/>
                <w:color w:val="auto"/>
                <w:spacing w:val="8"/>
                <w:sz w:val="18"/>
                <w:szCs w:val="18"/>
              </w:rPr>
              <w:t>资格预审文件与报价文件</w:t>
            </w:r>
            <w:r>
              <w:rPr>
                <w:rFonts w:hint="eastAsia" w:ascii="宋体" w:hAnsi="宋体" w:eastAsia="宋体" w:cs="宋体"/>
                <w:i w:val="0"/>
                <w:caps w:val="0"/>
                <w:color w:val="auto"/>
                <w:spacing w:val="8"/>
                <w:sz w:val="18"/>
                <w:szCs w:val="18"/>
                <w:lang w:eastAsia="zh-CN"/>
              </w:rPr>
              <w:t>装订在一册。</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文件递交：各</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单位自带</w:t>
            </w:r>
            <w:r>
              <w:rPr>
                <w:rFonts w:hint="eastAsia" w:ascii="宋体" w:hAnsi="宋体" w:cs="宋体"/>
                <w:i w:val="0"/>
                <w:caps w:val="0"/>
                <w:color w:val="auto"/>
                <w:spacing w:val="8"/>
                <w:sz w:val="18"/>
                <w:szCs w:val="18"/>
                <w:lang w:eastAsia="zh-CN"/>
              </w:rPr>
              <w:t>到</w:t>
            </w:r>
            <w:r>
              <w:rPr>
                <w:rFonts w:hint="eastAsia" w:ascii="宋体" w:hAnsi="宋体" w:eastAsia="宋体" w:cs="宋体"/>
                <w:i w:val="0"/>
                <w:caps w:val="0"/>
                <w:color w:val="auto"/>
                <w:spacing w:val="8"/>
                <w:sz w:val="18"/>
                <w:szCs w:val="18"/>
              </w:rPr>
              <w:t>现场</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须按本节要求准备，加盖</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人公章并按顺序进行装订；《</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文件》制作</w:t>
            </w:r>
            <w:r>
              <w:rPr>
                <w:rFonts w:hint="eastAsia" w:ascii="宋体" w:hAnsi="宋体" w:eastAsia="宋体" w:cs="宋体"/>
                <w:i w:val="0"/>
                <w:caps w:val="0"/>
                <w:color w:val="auto"/>
                <w:spacing w:val="8"/>
                <w:sz w:val="18"/>
                <w:szCs w:val="18"/>
                <w:lang w:val="en-US" w:eastAsia="zh-CN"/>
              </w:rPr>
              <w:t>并</w:t>
            </w:r>
            <w:r>
              <w:rPr>
                <w:rFonts w:hint="eastAsia" w:ascii="宋体" w:hAnsi="宋体" w:eastAsia="宋体" w:cs="宋体"/>
                <w:i w:val="0"/>
                <w:caps w:val="0"/>
                <w:color w:val="auto"/>
                <w:spacing w:val="8"/>
                <w:sz w:val="18"/>
                <w:szCs w:val="18"/>
                <w:lang w:eastAsia="zh-CN"/>
              </w:rPr>
              <w:t>装订</w:t>
            </w:r>
            <w:r>
              <w:rPr>
                <w:rFonts w:hint="eastAsia" w:ascii="宋体" w:hAnsi="宋体" w:eastAsia="宋体" w:cs="宋体"/>
                <w:i w:val="0"/>
                <w:caps w:val="0"/>
                <w:color w:val="auto"/>
                <w:spacing w:val="8"/>
                <w:sz w:val="18"/>
                <w:szCs w:val="18"/>
              </w:rPr>
              <w:t>成</w:t>
            </w:r>
            <w:r>
              <w:rPr>
                <w:rFonts w:hint="eastAsia" w:ascii="宋体" w:hAnsi="宋体" w:cs="宋体"/>
                <w:i w:val="0"/>
                <w:caps w:val="0"/>
                <w:color w:val="auto"/>
                <w:spacing w:val="8"/>
                <w:sz w:val="18"/>
                <w:szCs w:val="18"/>
                <w:lang w:eastAsia="zh-CN"/>
              </w:rPr>
              <w:t>一</w:t>
            </w:r>
            <w:r>
              <w:rPr>
                <w:rFonts w:hint="eastAsia" w:ascii="宋体" w:hAnsi="宋体" w:eastAsia="宋体" w:cs="宋体"/>
                <w:i w:val="0"/>
                <w:caps w:val="0"/>
                <w:color w:val="auto"/>
                <w:spacing w:val="8"/>
                <w:sz w:val="18"/>
                <w:szCs w:val="18"/>
              </w:rPr>
              <w:t>册。以下资质文件需</w:t>
            </w:r>
            <w:r>
              <w:rPr>
                <w:rFonts w:hint="eastAsia" w:ascii="宋体" w:hAnsi="宋体" w:eastAsia="宋体" w:cs="宋体"/>
                <w:i w:val="0"/>
                <w:caps w:val="0"/>
                <w:color w:val="auto"/>
                <w:spacing w:val="8"/>
                <w:sz w:val="18"/>
                <w:szCs w:val="18"/>
                <w:lang w:eastAsia="zh-CN"/>
              </w:rPr>
              <w:t>密封（密封封面及比选文件均需加盖公章）</w:t>
            </w:r>
            <w:r>
              <w:rPr>
                <w:rFonts w:hint="eastAsia" w:ascii="宋体" w:hAnsi="宋体" w:eastAsia="宋体" w:cs="宋体"/>
                <w:i w:val="0"/>
                <w:caps w:val="0"/>
                <w:color w:val="auto"/>
                <w:spacing w:val="8"/>
                <w:sz w:val="18"/>
                <w:szCs w:val="18"/>
              </w:rPr>
              <w:t>。若</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人参与多个标段的投标，必须为每个标段单独制作</w:t>
            </w:r>
            <w:r>
              <w:rPr>
                <w:rFonts w:hint="eastAsia" w:ascii="宋体" w:hAnsi="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w:t>
            </w:r>
            <w:r>
              <w:rPr>
                <w:rFonts w:hint="eastAsia" w:ascii="宋体" w:hAnsi="宋体" w:eastAsia="宋体" w:cs="宋体"/>
                <w:i w:val="0"/>
                <w:caps w:val="0"/>
                <w:color w:val="auto"/>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3" w:firstLineChars="200"/>
              <w:jc w:val="both"/>
              <w:textAlignment w:val="auto"/>
              <w:rPr>
                <w:rFonts w:hint="eastAsia" w:ascii="宋体" w:hAnsi="宋体" w:eastAsia="宋体" w:cs="宋体"/>
                <w:b/>
                <w:bCs/>
                <w:sz w:val="18"/>
                <w:szCs w:val="18"/>
              </w:rPr>
            </w:pPr>
            <w:r>
              <w:rPr>
                <w:rFonts w:hint="eastAsia" w:ascii="宋体" w:hAnsi="宋体" w:eastAsia="宋体" w:cs="宋体"/>
                <w:b/>
                <w:bCs/>
                <w:i w:val="0"/>
                <w:caps w:val="0"/>
                <w:color w:val="333333"/>
                <w:spacing w:val="8"/>
                <w:sz w:val="18"/>
                <w:szCs w:val="18"/>
              </w:rPr>
              <w:t>投标文件内容：</w:t>
            </w:r>
            <w:r>
              <w:rPr>
                <w:rFonts w:hint="eastAsia" w:ascii="宋体" w:hAnsi="宋体" w:eastAsia="宋体" w:cs="宋体"/>
                <w:i w:val="0"/>
                <w:caps w:val="0"/>
                <w:color w:val="333333"/>
                <w:spacing w:val="8"/>
                <w:sz w:val="18"/>
                <w:szCs w:val="18"/>
              </w:rPr>
              <w:t>（格式自拟</w:t>
            </w:r>
            <w:r>
              <w:rPr>
                <w:rFonts w:hint="eastAsia" w:ascii="宋体" w:hAnsi="宋体" w:eastAsia="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经营企业投标须提供：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1、投标函</w:t>
            </w:r>
            <w:r>
              <w:rPr>
                <w:rFonts w:hint="eastAsia" w:ascii="宋体" w:hAnsi="宋体" w:eastAsia="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2、法人授权委托书</w:t>
            </w:r>
            <w:r>
              <w:rPr>
                <w:rFonts w:hint="eastAsia" w:ascii="宋体" w:hAnsi="宋体" w:eastAsia="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3、营业执照</w:t>
            </w:r>
            <w:r>
              <w:rPr>
                <w:rFonts w:hint="eastAsia" w:ascii="宋体" w:hAnsi="宋体" w:eastAsia="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、投标报价表</w:t>
            </w:r>
            <w:r>
              <w:rPr>
                <w:rFonts w:hint="eastAsia" w:ascii="宋体" w:hAnsi="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5</w:t>
            </w:r>
            <w:r>
              <w:rPr>
                <w:rFonts w:hint="eastAsia" w:ascii="宋体" w:hAnsi="宋体" w:eastAsia="宋体" w:cs="宋体"/>
                <w:i w:val="0"/>
                <w:caps w:val="0"/>
                <w:color w:val="333333"/>
                <w:spacing w:val="8"/>
                <w:sz w:val="18"/>
                <w:szCs w:val="18"/>
              </w:rPr>
              <w:t>、供应商基本情况表</w:t>
            </w:r>
            <w:r>
              <w:rPr>
                <w:rFonts w:hint="eastAsia" w:ascii="宋体" w:hAnsi="宋体" w:eastAsia="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6</w:t>
            </w:r>
            <w:r>
              <w:rPr>
                <w:rFonts w:hint="eastAsia" w:ascii="宋体" w:hAnsi="宋体" w:eastAsia="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rPr>
              <w:t>供应商本项目管理、技术、服务人员情况表；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default" w:ascii="宋体" w:hAnsi="宋体" w:cs="宋体"/>
                <w:i w:val="0"/>
                <w:caps w:val="0"/>
                <w:color w:val="333333"/>
                <w:spacing w:val="8"/>
                <w:sz w:val="18"/>
                <w:szCs w:val="18"/>
                <w:lang w:val="en-US" w:eastAsia="zh-CN"/>
              </w:rPr>
              <w:t>7</w:t>
            </w:r>
            <w:r>
              <w:rPr>
                <w:rFonts w:hint="eastAsia" w:ascii="宋体" w:hAnsi="宋体" w:cs="宋体"/>
                <w:i w:val="0"/>
                <w:caps w:val="0"/>
                <w:color w:val="333333"/>
                <w:spacing w:val="8"/>
                <w:sz w:val="18"/>
                <w:szCs w:val="18"/>
                <w:lang w:val="en-US" w:eastAsia="zh-CN"/>
              </w:rPr>
              <w:t>、提供信用查询截图</w:t>
            </w:r>
            <w:r>
              <w:rPr>
                <w:rFonts w:hint="eastAsia" w:ascii="宋体" w:hAnsi="宋体" w:cs="宋体"/>
                <w:i w:val="0"/>
                <w:caps w:val="0"/>
                <w:color w:val="333333"/>
                <w:spacing w:val="8"/>
                <w:sz w:val="18"/>
                <w:szCs w:val="18"/>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8</w:t>
            </w:r>
            <w:r>
              <w:rPr>
                <w:rFonts w:hint="eastAsia" w:ascii="宋体" w:hAnsi="宋体" w:cs="宋体"/>
                <w:i w:val="0"/>
                <w:caps w:val="0"/>
                <w:color w:val="333333"/>
                <w:spacing w:val="8"/>
                <w:sz w:val="18"/>
                <w:szCs w:val="18"/>
                <w:lang w:val="en-US" w:eastAsia="zh-CN"/>
              </w:rPr>
              <w:t>、财务状况报表；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9</w:t>
            </w:r>
            <w:r>
              <w:rPr>
                <w:rFonts w:hint="eastAsia" w:ascii="宋体" w:hAnsi="宋体" w:cs="宋体"/>
                <w:i w:val="0"/>
                <w:caps w:val="0"/>
                <w:color w:val="333333"/>
                <w:spacing w:val="8"/>
                <w:sz w:val="18"/>
                <w:szCs w:val="18"/>
                <w:lang w:val="en-US" w:eastAsia="zh-CN"/>
              </w:rPr>
              <w:t>、声明材料（见附件）。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1、时间：202</w:t>
            </w:r>
            <w:r>
              <w:rPr>
                <w:rFonts w:hint="default" w:ascii="宋体" w:hAnsi="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年</w:t>
            </w:r>
            <w:r>
              <w:rPr>
                <w:rFonts w:hint="default" w:ascii="宋体" w:hAnsi="宋体" w:cs="宋体"/>
                <w:i w:val="0"/>
                <w:caps w:val="0"/>
                <w:color w:val="333333"/>
                <w:spacing w:val="8"/>
                <w:sz w:val="18"/>
                <w:szCs w:val="18"/>
                <w:lang w:val="en-US" w:eastAsia="zh-CN"/>
              </w:rPr>
              <w:t>11</w:t>
            </w:r>
            <w:r>
              <w:rPr>
                <w:rFonts w:hint="eastAsia" w:ascii="宋体" w:hAnsi="宋体" w:eastAsia="宋体" w:cs="宋体"/>
                <w:i w:val="0"/>
                <w:caps w:val="0"/>
                <w:color w:val="333333"/>
                <w:spacing w:val="8"/>
                <w:sz w:val="18"/>
                <w:szCs w:val="18"/>
              </w:rPr>
              <w:t>月</w:t>
            </w:r>
            <w:r>
              <w:rPr>
                <w:rFonts w:hint="eastAsia" w:ascii="宋体" w:hAnsi="宋体" w:cs="宋体"/>
                <w:i w:val="0"/>
                <w:caps w:val="0"/>
                <w:color w:val="333333"/>
                <w:spacing w:val="8"/>
                <w:sz w:val="18"/>
                <w:szCs w:val="18"/>
                <w:lang w:val="en-US" w:eastAsia="zh-CN"/>
              </w:rPr>
              <w:t>2</w:t>
            </w:r>
            <w:r>
              <w:rPr>
                <w:rFonts w:hint="default" w:ascii="宋体" w:hAnsi="宋体" w:cs="宋体"/>
                <w:i w:val="0"/>
                <w:caps w:val="0"/>
                <w:color w:val="333333"/>
                <w:spacing w:val="8"/>
                <w:sz w:val="18"/>
                <w:szCs w:val="18"/>
                <w:lang w:val="en-US" w:eastAsia="zh-CN"/>
              </w:rPr>
              <w:t>9</w:t>
            </w:r>
            <w:r>
              <w:rPr>
                <w:rFonts w:hint="eastAsia" w:ascii="宋体" w:hAnsi="宋体" w:eastAsia="宋体" w:cs="宋体"/>
                <w:i w:val="0"/>
                <w:caps w:val="0"/>
                <w:color w:val="333333"/>
                <w:spacing w:val="8"/>
                <w:sz w:val="18"/>
                <w:szCs w:val="18"/>
              </w:rPr>
              <w:t>日</w:t>
            </w:r>
            <w:r>
              <w:rPr>
                <w:rFonts w:hint="eastAsia" w:ascii="宋体" w:hAnsi="宋体" w:cs="宋体"/>
                <w:i w:val="0"/>
                <w:caps w:val="0"/>
                <w:color w:val="333333"/>
                <w:spacing w:val="8"/>
                <w:sz w:val="18"/>
                <w:szCs w:val="18"/>
                <w:lang w:val="en-US" w:eastAsia="zh-CN"/>
              </w:rPr>
              <w:t>10</w:t>
            </w:r>
            <w:r>
              <w:rPr>
                <w:rFonts w:hint="eastAsia" w:ascii="宋体" w:hAnsi="宋体" w:eastAsia="宋体" w:cs="宋体"/>
                <w:i w:val="0"/>
                <w:caps w:val="0"/>
                <w:color w:val="333333"/>
                <w:spacing w:val="8"/>
                <w:sz w:val="18"/>
                <w:szCs w:val="18"/>
              </w:rPr>
              <w:t>:</w:t>
            </w:r>
            <w:r>
              <w:rPr>
                <w:rFonts w:hint="default" w:ascii="宋体" w:hAnsi="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rPr>
              <w:t>0</w:t>
            </w:r>
            <w:r>
              <w:rPr>
                <w:rFonts w:hint="eastAsia" w:ascii="宋体" w:hAnsi="宋体" w:eastAsia="宋体" w:cs="宋体"/>
                <w:i w:val="0"/>
                <w:caps w:val="0"/>
                <w:color w:val="333333"/>
                <w:spacing w:val="8"/>
                <w:sz w:val="18"/>
                <w:szCs w:val="18"/>
                <w:lang w:eastAsia="zh-CN"/>
              </w:rPr>
              <w:t>（北京时间）。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评标要素：</w:t>
            </w:r>
            <w:r>
              <w:rPr>
                <w:rFonts w:hint="eastAsia" w:ascii="宋体" w:hAnsi="宋体" w:cs="宋体"/>
                <w:i w:val="0"/>
                <w:caps w:val="0"/>
                <w:color w:val="333333"/>
                <w:spacing w:val="8"/>
                <w:sz w:val="18"/>
                <w:szCs w:val="18"/>
                <w:lang w:eastAsia="zh-CN"/>
              </w:rPr>
              <w:t>资质、</w:t>
            </w:r>
            <w:r>
              <w:rPr>
                <w:rFonts w:hint="eastAsia" w:ascii="宋体" w:hAnsi="宋体" w:eastAsia="宋体" w:cs="宋体"/>
                <w:i w:val="0"/>
                <w:caps w:val="0"/>
                <w:color w:val="333333"/>
                <w:spacing w:val="8"/>
                <w:sz w:val="18"/>
                <w:szCs w:val="18"/>
              </w:rPr>
              <w:t>质量、价格、</w:t>
            </w:r>
            <w:r>
              <w:rPr>
                <w:rFonts w:hint="eastAsia" w:ascii="宋体" w:hAnsi="宋体" w:cs="宋体"/>
                <w:i w:val="0"/>
                <w:caps w:val="0"/>
                <w:color w:val="333333"/>
                <w:spacing w:val="8"/>
                <w:sz w:val="18"/>
                <w:szCs w:val="18"/>
                <w:lang w:eastAsia="zh-CN"/>
              </w:rPr>
              <w:t>业绩、</w:t>
            </w:r>
            <w:r>
              <w:rPr>
                <w:rFonts w:hint="eastAsia" w:ascii="宋体" w:hAnsi="宋体" w:eastAsia="宋体" w:cs="宋体"/>
                <w:i w:val="0"/>
                <w:caps w:val="0"/>
                <w:color w:val="333333"/>
                <w:spacing w:val="8"/>
                <w:sz w:val="18"/>
                <w:szCs w:val="18"/>
              </w:rPr>
              <w:t>服务</w:t>
            </w:r>
            <w:r>
              <w:rPr>
                <w:rFonts w:hint="eastAsia" w:ascii="宋体" w:hAnsi="宋体" w:eastAsia="宋体" w:cs="宋体"/>
                <w:i w:val="0"/>
                <w:caps w:val="0"/>
                <w:color w:val="333333"/>
                <w:spacing w:val="8"/>
                <w:sz w:val="18"/>
                <w:szCs w:val="18"/>
                <w:lang w:eastAsia="zh-CN"/>
              </w:rPr>
              <w:t>等综合评分</w:t>
            </w:r>
            <w:r>
              <w:rPr>
                <w:rFonts w:hint="eastAsia" w:ascii="宋体" w:hAnsi="宋体" w:eastAsia="宋体" w:cs="宋体"/>
                <w:i w:val="0"/>
                <w:caps w:val="0"/>
                <w:color w:val="333333"/>
                <w:spacing w:val="8"/>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根据</w:t>
            </w: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要求进行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348"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71" w:type="dxa"/>
            <w:tcBorders>
              <w:top w:val="nil"/>
              <w:left w:val="nil"/>
              <w:bottom w:val="single" w:color="auto" w:sz="6" w:space="0"/>
              <w:right w:val="single" w:color="auto" w:sz="6" w:space="0"/>
            </w:tcBorders>
            <w:noWrap w:val="0"/>
            <w:tcMar>
              <w:left w:w="105" w:type="dxa"/>
              <w:right w:w="105" w:type="dxa"/>
            </w:tcMar>
            <w:vAlign w:val="center"/>
          </w:tcPr>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val="0"/>
          <w:sz w:val="32"/>
          <w:szCs w:val="32"/>
          <w:lang w:eastAsia="zh-CN"/>
        </w:rPr>
      </w:pPr>
    </w:p>
    <w:p>
      <w:pPr>
        <w:keepNext w:val="0"/>
        <w:keepLines w:val="0"/>
        <w:pageBreakBefore w:val="0"/>
        <w:kinsoku/>
        <w:wordWrap/>
        <w:overflowPunct/>
        <w:topLinePunct w:val="0"/>
        <w:autoSpaceDE/>
        <w:autoSpaceDN/>
        <w:bidi w:val="0"/>
        <w:adjustRightInd/>
        <w:snapToGrid/>
        <w:spacing w:line="400" w:lineRule="exact"/>
        <w:jc w:val="center"/>
        <w:rPr>
          <w:rFonts w:hint="eastAsia" w:ascii="方正仿宋简体" w:hAnsi="方正仿宋简体" w:eastAsia="方正仿宋简体" w:cs="方正仿宋简体"/>
          <w:sz w:val="32"/>
          <w:szCs w:val="32"/>
          <w:vertAlign w:val="baseline"/>
          <w:lang w:val="en-US" w:eastAsia="zh-CN"/>
        </w:rPr>
      </w:pPr>
      <w:r>
        <w:rPr>
          <w:rFonts w:hint="eastAsia" w:ascii="方正黑体简体" w:hAnsi="方正黑体简体" w:eastAsia="方正黑体简体" w:cs="方正黑体简体"/>
          <w:b w:val="0"/>
          <w:bCs w:val="0"/>
          <w:sz w:val="32"/>
          <w:szCs w:val="32"/>
          <w:lang w:eastAsia="zh-CN"/>
        </w:rPr>
        <w:t>二、采购需求</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jc w:val="center"/>
        <w:textAlignment w:val="baseline"/>
        <w:rPr>
          <w:rFonts w:hint="eastAsia" w:ascii="方正黑体简体" w:hAnsi="方正黑体简体" w:eastAsia="方正黑体简体" w:cs="方正黑体简体"/>
          <w:sz w:val="32"/>
          <w:szCs w:val="32"/>
          <w:vertAlign w:val="baseline"/>
          <w:lang w:val="en-US" w:eastAsia="zh-CN"/>
        </w:rPr>
      </w:pPr>
      <w:r>
        <w:rPr>
          <w:rFonts w:hint="eastAsia" w:ascii="方正黑体简体" w:hAnsi="方正黑体简体" w:eastAsia="方正黑体简体" w:cs="方正黑体简体"/>
          <w:sz w:val="32"/>
          <w:szCs w:val="32"/>
          <w:vertAlign w:val="baseline"/>
          <w:lang w:val="en-US" w:eastAsia="zh-CN"/>
        </w:rPr>
        <w:t>环保检测项目清单</w:t>
      </w:r>
    </w:p>
    <w:tbl>
      <w:tblPr>
        <w:tblStyle w:val="9"/>
        <w:tblpPr w:leftFromText="180" w:rightFromText="180" w:vertAnchor="text" w:horzAnchor="page" w:tblpXSpec="center" w:tblpY="315"/>
        <w:tblOverlap w:val="never"/>
        <w:tblW w:w="8456" w:type="dxa"/>
        <w:jc w:val="center"/>
        <w:tblLayout w:type="fixed"/>
        <w:tblCellMar>
          <w:top w:w="0" w:type="dxa"/>
          <w:left w:w="0" w:type="dxa"/>
          <w:bottom w:w="0" w:type="dxa"/>
          <w:right w:w="0" w:type="dxa"/>
        </w:tblCellMar>
      </w:tblPr>
      <w:tblGrid>
        <w:gridCol w:w="1235"/>
        <w:gridCol w:w="2811"/>
        <w:gridCol w:w="2963"/>
        <w:gridCol w:w="1447"/>
      </w:tblGrid>
      <w:tr>
        <w:tblPrEx>
          <w:tblCellMar>
            <w:top w:w="0" w:type="dxa"/>
            <w:left w:w="0" w:type="dxa"/>
            <w:bottom w:w="0" w:type="dxa"/>
            <w:right w:w="0" w:type="dxa"/>
          </w:tblCellMar>
        </w:tblPrEx>
        <w:trPr>
          <w:trHeight w:val="256" w:hRule="atLeast"/>
          <w:jc w:val="center"/>
        </w:trPr>
        <w:tc>
          <w:tcPr>
            <w:tcW w:w="12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项目</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指标</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kern w:val="0"/>
                <w:sz w:val="28"/>
                <w:szCs w:val="28"/>
                <w:lang w:val="en-US" w:eastAsia="zh-CN"/>
              </w:rPr>
            </w:pPr>
            <w:r>
              <w:rPr>
                <w:rFonts w:hint="eastAsia" w:ascii="方正黑体简体" w:hAnsi="方正黑体简体" w:eastAsia="方正黑体简体" w:cs="方正黑体简体"/>
                <w:b w:val="0"/>
                <w:bCs/>
                <w:color w:val="000000"/>
                <w:kern w:val="0"/>
                <w:sz w:val="28"/>
                <w:szCs w:val="28"/>
                <w:lang w:val="en-US" w:eastAsia="zh-CN"/>
              </w:rPr>
              <w:t>采样方法及个数</w:t>
            </w:r>
          </w:p>
        </w:tc>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频次</w:t>
            </w:r>
          </w:p>
        </w:tc>
      </w:tr>
      <w:tr>
        <w:tblPrEx>
          <w:tblCellMar>
            <w:top w:w="0" w:type="dxa"/>
            <w:left w:w="0" w:type="dxa"/>
            <w:bottom w:w="0" w:type="dxa"/>
            <w:right w:w="0" w:type="dxa"/>
          </w:tblCellMar>
        </w:tblPrEx>
        <w:trPr>
          <w:trHeight w:val="256" w:hRule="atLeast"/>
          <w:jc w:val="center"/>
        </w:trPr>
        <w:tc>
          <w:tcPr>
            <w:tcW w:w="1235"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rPr>
              <w:t>废水</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粪大肠菌数</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eastAsia="zh-CN"/>
              </w:rPr>
            </w:pPr>
            <w:r>
              <w:rPr>
                <w:rFonts w:hint="eastAsia" w:ascii="方正仿宋简体" w:hAnsi="方正仿宋简体" w:eastAsia="方正仿宋简体" w:cs="方正仿宋简体"/>
                <w:color w:val="000000"/>
                <w:kern w:val="0"/>
                <w:sz w:val="24"/>
                <w:lang w:val="en-US" w:eastAsia="zh-CN"/>
              </w:rPr>
              <w:t>1</w:t>
            </w:r>
            <w:r>
              <w:rPr>
                <w:rFonts w:hint="eastAsia" w:ascii="方正仿宋简体" w:hAnsi="方正仿宋简体" w:eastAsia="方正仿宋简体" w:cs="方正仿宋简体"/>
                <w:color w:val="000000"/>
                <w:kern w:val="0"/>
                <w:sz w:val="24"/>
              </w:rPr>
              <w:t>次</w:t>
            </w:r>
            <w:r>
              <w:rPr>
                <w:rFonts w:hint="eastAsia" w:ascii="方正仿宋简体" w:hAnsi="方正仿宋简体" w:eastAsia="方正仿宋简体" w:cs="方正仿宋简体"/>
                <w:color w:val="000000"/>
                <w:kern w:val="0"/>
                <w:sz w:val="24"/>
                <w:lang w:val="en-US" w:eastAsia="zh-CN"/>
              </w:rPr>
              <w:t>/</w:t>
            </w:r>
            <w:r>
              <w:rPr>
                <w:rFonts w:hint="eastAsia" w:ascii="方正仿宋简体" w:hAnsi="方正仿宋简体" w:eastAsia="方正仿宋简体" w:cs="方正仿宋简体"/>
                <w:color w:val="000000"/>
                <w:kern w:val="0"/>
                <w:sz w:val="24"/>
                <w:lang w:eastAsia="zh-CN"/>
              </w:rPr>
              <w:t>月</w:t>
            </w:r>
          </w:p>
        </w:tc>
      </w:tr>
      <w:tr>
        <w:tblPrEx>
          <w:tblCellMar>
            <w:top w:w="0" w:type="dxa"/>
            <w:left w:w="0" w:type="dxa"/>
            <w:bottom w:w="0" w:type="dxa"/>
            <w:right w:w="0" w:type="dxa"/>
          </w:tblCellMar>
        </w:tblPrEx>
        <w:trPr>
          <w:trHeight w:val="375"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lang w:eastAsia="zh-CN"/>
              </w:rPr>
            </w:pPr>
            <w:r>
              <w:rPr>
                <w:rFonts w:hint="eastAsia" w:ascii="方正仿宋简体" w:hAnsi="方正仿宋简体" w:eastAsia="方正仿宋简体" w:cs="方正仿宋简体"/>
                <w:color w:val="auto"/>
                <w:kern w:val="0"/>
                <w:sz w:val="24"/>
              </w:rPr>
              <w:t>总余氯</w:t>
            </w:r>
            <w:r>
              <w:rPr>
                <w:rFonts w:hint="eastAsia" w:ascii="方正仿宋简体" w:hAnsi="方正仿宋简体" w:eastAsia="方正仿宋简体" w:cs="方正仿宋简体"/>
                <w:color w:val="auto"/>
                <w:kern w:val="0"/>
                <w:sz w:val="24"/>
                <w:lang w:eastAsia="zh-CN"/>
              </w:rPr>
              <w:t>（以</w:t>
            </w:r>
            <w:r>
              <w:rPr>
                <w:rFonts w:hint="eastAsia" w:ascii="方正仿宋简体" w:hAnsi="方正仿宋简体" w:eastAsia="方正仿宋简体" w:cs="方正仿宋简体"/>
                <w:color w:val="auto"/>
                <w:kern w:val="0"/>
                <w:sz w:val="24"/>
                <w:lang w:val="en-US" w:eastAsia="zh-CN"/>
              </w:rPr>
              <w:t>C1计</w:t>
            </w:r>
            <w:r>
              <w:rPr>
                <w:rFonts w:hint="eastAsia" w:ascii="方正仿宋简体" w:hAnsi="方正仿宋简体" w:eastAsia="方正仿宋简体" w:cs="方正仿宋简体"/>
                <w:color w:val="auto"/>
                <w:kern w:val="0"/>
                <w:sz w:val="24"/>
                <w:lang w:eastAsia="zh-CN"/>
              </w:rPr>
              <w:t>）</w:t>
            </w:r>
          </w:p>
        </w:tc>
        <w:tc>
          <w:tcPr>
            <w:tcW w:w="2963"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lang w:val="en-US" w:eastAsia="zh-CN"/>
              </w:rPr>
            </w:pPr>
            <w:r>
              <w:rPr>
                <w:rFonts w:hint="eastAsia" w:ascii="方正仿宋简体" w:hAnsi="方正仿宋简体" w:eastAsia="方正仿宋简体" w:cs="方正仿宋简体"/>
                <w:color w:val="000000"/>
                <w:kern w:val="0"/>
                <w:sz w:val="24"/>
                <w:lang w:val="en-US" w:eastAsia="zh-CN"/>
              </w:rPr>
              <w:t>1</w:t>
            </w:r>
            <w:r>
              <w:rPr>
                <w:rFonts w:hint="eastAsia" w:ascii="方正仿宋简体" w:hAnsi="方正仿宋简体" w:eastAsia="方正仿宋简体" w:cs="方正仿宋简体"/>
                <w:color w:val="000000"/>
                <w:kern w:val="0"/>
                <w:sz w:val="24"/>
              </w:rPr>
              <w:t>次</w:t>
            </w:r>
            <w:r>
              <w:rPr>
                <w:rFonts w:hint="eastAsia" w:ascii="方正仿宋简体" w:hAnsi="方正仿宋简体" w:eastAsia="方正仿宋简体" w:cs="方正仿宋简体"/>
                <w:color w:val="000000"/>
                <w:kern w:val="0"/>
                <w:sz w:val="24"/>
                <w:lang w:val="en-US" w:eastAsia="zh-CN"/>
              </w:rPr>
              <w:t>/季</w:t>
            </w: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肠道致病菌（沙门+志贺)</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氨氮</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lang w:eastAsia="zh-CN"/>
              </w:rPr>
            </w:pPr>
            <w:r>
              <w:rPr>
                <w:rFonts w:hint="eastAsia" w:ascii="方正仿宋简体" w:hAnsi="方正仿宋简体" w:eastAsia="方正仿宋简体" w:cs="方正仿宋简体"/>
                <w:color w:val="auto"/>
                <w:kern w:val="0"/>
                <w:sz w:val="24"/>
              </w:rPr>
              <w:t>总磷</w:t>
            </w:r>
            <w:r>
              <w:rPr>
                <w:rFonts w:hint="eastAsia" w:ascii="方正仿宋简体" w:hAnsi="方正仿宋简体" w:eastAsia="方正仿宋简体" w:cs="方正仿宋简体"/>
                <w:color w:val="auto"/>
                <w:kern w:val="0"/>
                <w:sz w:val="24"/>
                <w:lang w:eastAsia="zh-CN"/>
              </w:rPr>
              <w:t>（以</w:t>
            </w:r>
            <w:r>
              <w:rPr>
                <w:rFonts w:hint="eastAsia" w:ascii="方正仿宋简体" w:hAnsi="方正仿宋简体" w:eastAsia="方正仿宋简体" w:cs="方正仿宋简体"/>
                <w:color w:val="auto"/>
                <w:kern w:val="0"/>
                <w:sz w:val="24"/>
                <w:lang w:val="en-US" w:eastAsia="zh-CN"/>
              </w:rPr>
              <w:t>P计</w:t>
            </w:r>
            <w:r>
              <w:rPr>
                <w:rFonts w:hint="eastAsia" w:ascii="方正仿宋简体" w:hAnsi="方正仿宋简体" w:eastAsia="方正仿宋简体" w:cs="方正仿宋简体"/>
                <w:color w:val="auto"/>
                <w:kern w:val="0"/>
                <w:sz w:val="24"/>
                <w:lang w:eastAsia="zh-CN"/>
              </w:rPr>
              <w:t>）</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石油类</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动植物油</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挥发酚</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总氰化物</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色度</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五日生化需氧量</w:t>
            </w:r>
          </w:p>
        </w:tc>
        <w:tc>
          <w:tcPr>
            <w:tcW w:w="2963"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lang w:eastAsia="zh-CN"/>
              </w:rPr>
              <w:t>阴</w:t>
            </w:r>
            <w:r>
              <w:rPr>
                <w:rFonts w:hint="eastAsia" w:ascii="方正仿宋简体" w:hAnsi="方正仿宋简体" w:eastAsia="方正仿宋简体" w:cs="方正仿宋简体"/>
                <w:color w:val="auto"/>
                <w:kern w:val="0"/>
                <w:sz w:val="24"/>
              </w:rPr>
              <w:t>离子表面活性剂</w:t>
            </w:r>
          </w:p>
        </w:tc>
        <w:tc>
          <w:tcPr>
            <w:tcW w:w="2963"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447"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悬浮物</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lang w:val="en-US"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val="en-US" w:eastAsia="zh-CN"/>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w:t>
            </w:r>
            <w:r>
              <w:rPr>
                <w:rFonts w:hint="eastAsia" w:ascii="方正仿宋简体" w:hAnsi="方正仿宋简体" w:eastAsia="方正仿宋简体" w:cs="方正仿宋简体"/>
                <w:color w:val="000000"/>
                <w:kern w:val="0"/>
                <w:sz w:val="24"/>
                <w:lang w:eastAsia="zh-CN"/>
              </w:rPr>
              <w:t>周</w:t>
            </w: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化学需氧量</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kern w:val="0"/>
                <w:sz w:val="24"/>
                <w:u w:val="none"/>
                <w:lang w:val="en-US" w:eastAsia="zh-CN"/>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auto"/>
                <w:kern w:val="0"/>
                <w:sz w:val="24"/>
                <w:lang w:val="en-US" w:eastAsia="zh-CN"/>
              </w:rPr>
              <w:t>PH值</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p>
        </w:tc>
      </w:tr>
      <w:tr>
        <w:tblPrEx>
          <w:tblCellMar>
            <w:top w:w="0" w:type="dxa"/>
            <w:left w:w="0" w:type="dxa"/>
            <w:bottom w:w="0" w:type="dxa"/>
            <w:right w:w="0" w:type="dxa"/>
          </w:tblCellMar>
        </w:tblPrEx>
        <w:trPr>
          <w:trHeight w:val="256" w:hRule="atLeast"/>
          <w:jc w:val="center"/>
        </w:trPr>
        <w:tc>
          <w:tcPr>
            <w:tcW w:w="1235"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kern w:val="0"/>
                <w:sz w:val="24"/>
                <w:u w:val="none"/>
                <w:lang w:val="en-US" w:eastAsia="zh-CN"/>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流量</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447"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p>
        </w:tc>
      </w:tr>
      <w:tr>
        <w:tblPrEx>
          <w:tblCellMar>
            <w:top w:w="0" w:type="dxa"/>
            <w:left w:w="0" w:type="dxa"/>
            <w:bottom w:w="0" w:type="dxa"/>
            <w:right w:w="0" w:type="dxa"/>
          </w:tblCellMar>
        </w:tblPrEx>
        <w:trPr>
          <w:trHeight w:val="256" w:hRule="atLeast"/>
          <w:jc w:val="center"/>
        </w:trPr>
        <w:tc>
          <w:tcPr>
            <w:tcW w:w="12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u w:val="none"/>
                <w:lang w:val="en-US" w:eastAsia="zh-CN"/>
              </w:rPr>
              <w:t>污水站</w:t>
            </w:r>
            <w:r>
              <w:rPr>
                <w:rFonts w:hint="eastAsia" w:ascii="方正黑体简体" w:hAnsi="方正黑体简体" w:eastAsia="方正黑体简体" w:cs="方正黑体简体"/>
                <w:b w:val="0"/>
                <w:bCs/>
                <w:color w:val="000000"/>
                <w:kern w:val="0"/>
                <w:sz w:val="24"/>
                <w:u w:val="none"/>
              </w:rPr>
              <w:t>废气（</w:t>
            </w:r>
            <w:r>
              <w:rPr>
                <w:rFonts w:hint="eastAsia" w:ascii="方正黑体简体" w:hAnsi="方正黑体简体" w:eastAsia="方正黑体简体" w:cs="方正黑体简体"/>
                <w:b w:val="0"/>
                <w:bCs/>
                <w:color w:val="000000"/>
                <w:kern w:val="0"/>
                <w:sz w:val="24"/>
                <w:u w:val="none"/>
                <w:lang w:val="en-US" w:eastAsia="zh-CN"/>
              </w:rPr>
              <w:t>有</w:t>
            </w:r>
            <w:r>
              <w:rPr>
                <w:rFonts w:hint="eastAsia" w:ascii="方正黑体简体" w:hAnsi="方正黑体简体" w:eastAsia="方正黑体简体" w:cs="方正黑体简体"/>
                <w:b w:val="0"/>
                <w:bCs/>
                <w:color w:val="000000"/>
                <w:kern w:val="0"/>
                <w:sz w:val="24"/>
                <w:u w:val="none"/>
              </w:rPr>
              <w:t>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臭气浓度</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val="en-US" w:eastAsia="zh-CN"/>
              </w:rPr>
            </w:pPr>
            <w:r>
              <w:rPr>
                <w:rFonts w:hint="eastAsia" w:ascii="方正仿宋简体" w:hAnsi="方正仿宋简体" w:eastAsia="方正仿宋简体" w:cs="方正仿宋简体"/>
                <w:color w:val="000000"/>
                <w:kern w:val="0"/>
                <w:sz w:val="24"/>
                <w:lang w:val="en-US" w:eastAsia="zh-CN"/>
              </w:rPr>
              <w:t>1次/季</w:t>
            </w: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eastAsia="zh-CN"/>
              </w:rPr>
            </w:pPr>
            <w:r>
              <w:rPr>
                <w:rFonts w:hint="eastAsia" w:ascii="方正仿宋简体" w:hAnsi="方正仿宋简体" w:eastAsia="方正仿宋简体" w:cs="方正仿宋简体"/>
                <w:color w:val="000000"/>
                <w:kern w:val="0"/>
                <w:sz w:val="24"/>
              </w:rPr>
              <w:t>氨</w:t>
            </w:r>
            <w:r>
              <w:rPr>
                <w:rFonts w:hint="eastAsia" w:ascii="方正仿宋简体" w:hAnsi="方正仿宋简体" w:eastAsia="方正仿宋简体" w:cs="方正仿宋简体"/>
                <w:color w:val="000000"/>
                <w:kern w:val="0"/>
                <w:sz w:val="24"/>
                <w:lang w:eastAsia="zh-CN"/>
              </w:rPr>
              <w:t>（氨气）</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硫化氢</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lang w:val="en-US" w:eastAsia="zh-CN"/>
              </w:rPr>
              <w:t>锅炉</w:t>
            </w:r>
            <w:r>
              <w:rPr>
                <w:rFonts w:hint="eastAsia" w:ascii="方正黑体简体" w:hAnsi="方正黑体简体" w:eastAsia="方正黑体简体" w:cs="方正黑体简体"/>
                <w:b w:val="0"/>
                <w:bCs/>
                <w:color w:val="000000"/>
                <w:kern w:val="0"/>
                <w:sz w:val="24"/>
              </w:rPr>
              <w:t>废气（有组织）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eastAsia="zh-CN"/>
              </w:rPr>
              <w:t>格林曼</w:t>
            </w:r>
            <w:r>
              <w:rPr>
                <w:rFonts w:hint="eastAsia" w:ascii="方正仿宋简体" w:hAnsi="方正仿宋简体" w:eastAsia="方正仿宋简体" w:cs="方正仿宋简体"/>
                <w:color w:val="000000"/>
                <w:kern w:val="0"/>
                <w:sz w:val="24"/>
              </w:rPr>
              <w:t>黑度</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年</w:t>
            </w: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一氧化碳</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二氧化硫</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颗粒物</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氮氧化物</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月</w:t>
            </w:r>
          </w:p>
        </w:tc>
      </w:tr>
      <w:tr>
        <w:tblPrEx>
          <w:tblCellMar>
            <w:top w:w="0" w:type="dxa"/>
            <w:left w:w="0" w:type="dxa"/>
            <w:bottom w:w="0" w:type="dxa"/>
            <w:right w:w="0" w:type="dxa"/>
          </w:tblCellMar>
        </w:tblPrEx>
        <w:trPr>
          <w:trHeight w:val="493" w:hRule="atLeast"/>
          <w:jc w:val="center"/>
        </w:trPr>
        <w:tc>
          <w:tcPr>
            <w:tcW w:w="12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lang w:val="en-US" w:eastAsia="zh-CN"/>
              </w:rPr>
            </w:pPr>
            <w:r>
              <w:rPr>
                <w:rFonts w:hint="eastAsia" w:ascii="方正黑体简体" w:hAnsi="方正黑体简体" w:eastAsia="方正黑体简体" w:cs="方正黑体简体"/>
                <w:b w:val="0"/>
                <w:bCs/>
                <w:color w:val="000000"/>
                <w:sz w:val="24"/>
                <w:lang w:val="en-US" w:eastAsia="zh-CN"/>
              </w:rPr>
              <w:t>煎药房废气（有组织）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val="en-US" w:eastAsia="zh-CN"/>
              </w:rPr>
              <w:t>臭气浓度</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val="en-US" w:eastAsia="zh-CN"/>
              </w:rPr>
              <w:t>1次/年</w:t>
            </w:r>
          </w:p>
        </w:tc>
      </w:tr>
      <w:tr>
        <w:tblPrEx>
          <w:tblCellMar>
            <w:top w:w="0" w:type="dxa"/>
            <w:left w:w="0" w:type="dxa"/>
            <w:bottom w:w="0" w:type="dxa"/>
            <w:right w:w="0" w:type="dxa"/>
          </w:tblCellMar>
        </w:tblPrEx>
        <w:trPr>
          <w:trHeight w:val="256" w:hRule="atLeast"/>
          <w:jc w:val="center"/>
        </w:trPr>
        <w:tc>
          <w:tcPr>
            <w:tcW w:w="12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auto"/>
                <w:kern w:val="0"/>
                <w:sz w:val="24"/>
              </w:rPr>
            </w:pPr>
            <w:r>
              <w:rPr>
                <w:rFonts w:hint="eastAsia" w:ascii="方正黑体简体" w:hAnsi="方正黑体简体" w:eastAsia="方正黑体简体" w:cs="方正黑体简体"/>
                <w:b w:val="0"/>
                <w:bCs/>
                <w:color w:val="000000"/>
                <w:sz w:val="24"/>
                <w:lang w:val="en-US" w:eastAsia="zh-CN"/>
              </w:rPr>
              <w:t>煎药房废气1（有组织）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kern w:val="0"/>
                <w:sz w:val="24"/>
              </w:rPr>
            </w:pPr>
            <w:r>
              <w:rPr>
                <w:rFonts w:hint="eastAsia" w:ascii="方正仿宋简体" w:hAnsi="方正仿宋简体" w:eastAsia="方正仿宋简体" w:cs="方正仿宋简体"/>
                <w:color w:val="000000"/>
                <w:kern w:val="0"/>
                <w:sz w:val="24"/>
                <w:lang w:val="en-US" w:eastAsia="zh-CN"/>
              </w:rPr>
              <w:t>臭气浓度</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auto"/>
                <w:kern w:val="0"/>
                <w:sz w:val="24"/>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4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kern w:val="0"/>
                <w:sz w:val="24"/>
                <w:lang w:val="en-US" w:eastAsia="zh-CN"/>
              </w:rPr>
            </w:pPr>
            <w:r>
              <w:rPr>
                <w:rFonts w:hint="eastAsia" w:ascii="方正仿宋简体" w:hAnsi="方正仿宋简体" w:eastAsia="方正仿宋简体" w:cs="方正仿宋简体"/>
                <w:color w:val="000000"/>
                <w:kern w:val="0"/>
                <w:sz w:val="24"/>
                <w:lang w:val="en-US" w:eastAsia="zh-CN"/>
              </w:rPr>
              <w:t>1次/年</w:t>
            </w:r>
          </w:p>
        </w:tc>
      </w:tr>
      <w:tr>
        <w:tblPrEx>
          <w:tblCellMar>
            <w:top w:w="0" w:type="dxa"/>
            <w:left w:w="0" w:type="dxa"/>
            <w:bottom w:w="0" w:type="dxa"/>
            <w:right w:w="0" w:type="dxa"/>
          </w:tblCellMar>
        </w:tblPrEx>
        <w:trPr>
          <w:trHeight w:val="256" w:hRule="atLeast"/>
          <w:jc w:val="center"/>
        </w:trPr>
        <w:tc>
          <w:tcPr>
            <w:tcW w:w="12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auto"/>
                <w:sz w:val="24"/>
              </w:rPr>
            </w:pPr>
            <w:r>
              <w:rPr>
                <w:rFonts w:hint="eastAsia" w:ascii="方正黑体简体" w:hAnsi="方正黑体简体" w:eastAsia="方正黑体简体" w:cs="方正黑体简体"/>
                <w:b w:val="0"/>
                <w:bCs/>
                <w:color w:val="auto"/>
                <w:kern w:val="0"/>
                <w:sz w:val="24"/>
              </w:rPr>
              <w:t>噪声</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昼间</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kern w:val="0"/>
                <w:sz w:val="24"/>
              </w:rPr>
            </w:pPr>
          </w:p>
        </w:tc>
        <w:tc>
          <w:tcPr>
            <w:tcW w:w="144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lang w:val="en-US" w:eastAsia="zh-CN"/>
              </w:rPr>
            </w:pPr>
            <w:r>
              <w:rPr>
                <w:rFonts w:hint="eastAsia" w:ascii="方正仿宋简体" w:hAnsi="方正仿宋简体" w:eastAsia="方正仿宋简体" w:cs="方正仿宋简体"/>
                <w:color w:val="auto"/>
                <w:kern w:val="0"/>
                <w:sz w:val="24"/>
                <w:lang w:val="en-US" w:eastAsia="zh-CN"/>
              </w:rPr>
              <w:t>1次/季</w:t>
            </w:r>
          </w:p>
        </w:tc>
      </w:tr>
      <w:tr>
        <w:tblPrEx>
          <w:tblCellMar>
            <w:top w:w="0" w:type="dxa"/>
            <w:left w:w="0" w:type="dxa"/>
            <w:bottom w:w="0" w:type="dxa"/>
            <w:right w:w="0" w:type="dxa"/>
          </w:tblCellMar>
        </w:tblPrEx>
        <w:trPr>
          <w:trHeight w:val="263" w:hRule="atLeast"/>
          <w:jc w:val="center"/>
        </w:trPr>
        <w:tc>
          <w:tcPr>
            <w:tcW w:w="12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b/>
                <w:color w:val="auto"/>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cs="宋体"/>
                <w:color w:val="auto"/>
                <w:sz w:val="24"/>
              </w:rPr>
            </w:pPr>
            <w:r>
              <w:rPr>
                <w:rFonts w:hint="eastAsia" w:ascii="方正仿宋简体" w:hAnsi="方正仿宋简体" w:eastAsia="方正仿宋简体" w:cs="方正仿宋简体"/>
                <w:color w:val="auto"/>
                <w:kern w:val="0"/>
                <w:sz w:val="24"/>
              </w:rPr>
              <w:t>夜间</w:t>
            </w:r>
          </w:p>
        </w:tc>
        <w:tc>
          <w:tcPr>
            <w:tcW w:w="29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color w:val="auto"/>
                <w:sz w:val="24"/>
              </w:rPr>
            </w:pPr>
          </w:p>
        </w:tc>
        <w:tc>
          <w:tcPr>
            <w:tcW w:w="144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color w:val="auto"/>
                <w:sz w:val="24"/>
              </w:rPr>
            </w:pPr>
          </w:p>
        </w:tc>
      </w:tr>
      <w:tr>
        <w:tblPrEx>
          <w:tblCellMar>
            <w:top w:w="0" w:type="dxa"/>
            <w:left w:w="0" w:type="dxa"/>
            <w:bottom w:w="0" w:type="dxa"/>
            <w:right w:w="0" w:type="dxa"/>
          </w:tblCellMar>
        </w:tblPrEx>
        <w:trPr>
          <w:trHeight w:val="263" w:hRule="atLeast"/>
          <w:jc w:val="center"/>
        </w:trPr>
        <w:tc>
          <w:tcPr>
            <w:tcW w:w="8456"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auto"/>
                <w:kern w:val="0"/>
                <w:sz w:val="24"/>
                <w:lang w:val="en-US" w:eastAsia="zh-CN"/>
              </w:rPr>
            </w:pPr>
            <w:r>
              <w:rPr>
                <w:rFonts w:hint="eastAsia" w:ascii="方正仿宋简体" w:hAnsi="方正仿宋简体" w:eastAsia="方正仿宋简体" w:cs="方正仿宋简体"/>
                <w:color w:val="auto"/>
                <w:kern w:val="0"/>
                <w:sz w:val="24"/>
                <w:lang w:val="en-US" w:eastAsia="zh-CN"/>
              </w:rPr>
              <w:t>备注：</w:t>
            </w:r>
            <w:r>
              <w:rPr>
                <w:rFonts w:hint="default" w:ascii="方正仿宋简体" w:hAnsi="方正仿宋简体" w:eastAsia="方正仿宋简体" w:cs="方正仿宋简体"/>
                <w:color w:val="auto"/>
                <w:kern w:val="0"/>
                <w:sz w:val="24"/>
                <w:lang w:val="en-US" w:eastAsia="zh-CN"/>
              </w:rPr>
              <w:t>1.</w:t>
            </w:r>
            <w:r>
              <w:rPr>
                <w:rFonts w:hint="eastAsia" w:ascii="方正仿宋简体" w:hAnsi="方正仿宋简体" w:eastAsia="方正仿宋简体" w:cs="方正仿宋简体"/>
                <w:color w:val="auto"/>
                <w:kern w:val="0"/>
                <w:sz w:val="24"/>
                <w:lang w:val="en-US" w:eastAsia="zh-CN"/>
              </w:rPr>
              <w:t>医院检测指标不合格需要补测时，中标方提供一次免费检测。</w:t>
            </w:r>
          </w:p>
          <w:p>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4"/>
                <w:lang w:val="en-US" w:eastAsia="zh-CN"/>
              </w:rPr>
            </w:pPr>
            <w:r>
              <w:rPr>
                <w:rFonts w:hint="default" w:ascii="方正仿宋简体" w:hAnsi="方正仿宋简体" w:eastAsia="方正仿宋简体" w:cs="方正仿宋简体"/>
                <w:color w:val="auto"/>
                <w:kern w:val="0"/>
                <w:sz w:val="24"/>
                <w:lang w:val="en-US" w:eastAsia="zh-CN"/>
              </w:rPr>
              <w:t>2.</w:t>
            </w:r>
            <w:r>
              <w:rPr>
                <w:rFonts w:hint="eastAsia" w:ascii="方正仿宋简体" w:hAnsi="方正仿宋简体" w:eastAsia="方正仿宋简体" w:cs="方正仿宋简体"/>
                <w:color w:val="auto"/>
                <w:kern w:val="0"/>
                <w:sz w:val="24"/>
                <w:lang w:val="en-US" w:eastAsia="zh-CN"/>
              </w:rPr>
              <w:t>以总价进行报价，含税价。</w:t>
            </w:r>
          </w:p>
        </w:tc>
      </w:tr>
    </w:tbl>
    <w:p/>
    <w:p>
      <w:pPr>
        <w:pStyle w:val="6"/>
        <w:keepNext w:val="0"/>
        <w:keepLines w:val="0"/>
        <w:pageBreakBefore w:val="0"/>
        <w:kinsoku/>
        <w:wordWrap w:val="0"/>
        <w:overflowPunct/>
        <w:topLinePunct w:val="0"/>
        <w:autoSpaceDE/>
        <w:autoSpaceDN/>
        <w:bidi w:val="0"/>
        <w:adjustRightInd/>
        <w:snapToGrid/>
        <w:spacing w:line="240" w:lineRule="auto"/>
        <w:jc w:val="center"/>
        <w:textAlignment w:val="auto"/>
        <w:rPr>
          <w:rFonts w:hint="default" w:ascii="方正黑体简体" w:hAnsi="方正黑体简体" w:eastAsia="方正黑体简体" w:cs="方正黑体简体"/>
          <w:kern w:val="0"/>
          <w:sz w:val="32"/>
          <w:szCs w:val="32"/>
          <w:lang w:val="en-US" w:eastAsia="zh-CN" w:bidi="ar-SA"/>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pPr>
        <w:pStyle w:val="4"/>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2.3评审程序：资格审查---初步评审---评分</w:t>
      </w:r>
      <w:r>
        <w:rPr>
          <w:rFonts w:hint="eastAsia" w:ascii="仿宋" w:hAnsi="仿宋" w:eastAsia="仿宋" w:cs="仿宋"/>
          <w:sz w:val="24"/>
          <w:lang w:eastAsia="zh-CN"/>
        </w:rPr>
        <w:t>比选</w:t>
      </w:r>
      <w:r>
        <w:rPr>
          <w:rFonts w:hint="eastAsia" w:ascii="仿宋" w:hAnsi="仿宋" w:eastAsia="仿宋" w:cs="仿宋"/>
          <w:sz w:val="24"/>
        </w:rPr>
        <w:t>——推荐中选候选人。</w:t>
      </w:r>
    </w:p>
    <w:p>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top"/>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pPr>
              <w:snapToGrid w:val="0"/>
              <w:spacing w:line="280" w:lineRule="exact"/>
              <w:rPr>
                <w:rFonts w:hint="eastAsia" w:ascii="宋体" w:hAnsi="宋体"/>
                <w:sz w:val="18"/>
                <w:szCs w:val="18"/>
                <w:highlight w:val="none"/>
              </w:rPr>
            </w:pPr>
          </w:p>
        </w:tc>
        <w:tc>
          <w:tcPr>
            <w:tcW w:w="1603" w:type="dxa"/>
            <w:noWrap w:val="0"/>
            <w:vAlign w:val="center"/>
          </w:tcPr>
          <w:p>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pPr>
              <w:snapToGrid w:val="0"/>
              <w:spacing w:line="280" w:lineRule="exact"/>
              <w:rPr>
                <w:rFonts w:ascii="宋体" w:hAnsi="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pPr>
              <w:snapToGrid w:val="0"/>
              <w:spacing w:line="280" w:lineRule="exact"/>
              <w:rPr>
                <w:rFonts w:ascii="宋体" w:hAnsi="宋体"/>
                <w:sz w:val="18"/>
                <w:szCs w:val="18"/>
                <w:highlight w:val="none"/>
              </w:rPr>
            </w:pPr>
          </w:p>
        </w:tc>
      </w:tr>
    </w:tbl>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4.2若比选申请文件有下表中所列任何一种情况的，则视为未能在实质上响应比选文件，属重大偏差，将不进入后续评审。</w:t>
      </w:r>
    </w:p>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hint="eastAsia" w:ascii="仿宋" w:hAnsi="仿宋" w:eastAsia="仿宋" w:cs="仿宋"/>
          <w:b/>
          <w:color w:val="auto"/>
          <w:sz w:val="24"/>
          <w:lang w:eastAsia="zh-CN"/>
        </w:rPr>
      </w:pPr>
      <w:r>
        <w:rPr>
          <w:rFonts w:hint="eastAsia" w:ascii="仿宋" w:hAnsi="仿宋" w:eastAsia="仿宋" w:cs="仿宋"/>
          <w:b/>
          <w:color w:val="auto"/>
          <w:sz w:val="24"/>
        </w:rPr>
        <w:t>五</w:t>
      </w:r>
      <w:r>
        <w:rPr>
          <w:rFonts w:hint="eastAsia" w:ascii="仿宋" w:hAnsi="仿宋" w:eastAsia="仿宋" w:cs="仿宋"/>
          <w:bCs w:val="0"/>
          <w:color w:val="auto"/>
        </w:rPr>
        <w:t>、</w:t>
      </w:r>
      <w:r>
        <w:rPr>
          <w:rFonts w:hint="eastAsia" w:ascii="仿宋" w:hAnsi="仿宋" w:eastAsia="仿宋" w:cs="仿宋"/>
          <w:b/>
          <w:color w:val="auto"/>
          <w:sz w:val="24"/>
        </w:rPr>
        <w:t>评分</w:t>
      </w:r>
      <w:r>
        <w:rPr>
          <w:rFonts w:hint="eastAsia" w:ascii="仿宋" w:hAnsi="仿宋" w:eastAsia="仿宋" w:cs="仿宋"/>
          <w:b/>
          <w:color w:val="auto"/>
          <w:sz w:val="24"/>
          <w:lang w:eastAsia="zh-CN"/>
        </w:rPr>
        <w:t>比选</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rPr>
      </w:pPr>
      <w:r>
        <w:rPr>
          <w:rFonts w:hint="eastAsia" w:ascii="仿宋" w:hAnsi="仿宋" w:eastAsia="仿宋" w:cs="仿宋"/>
          <w:sz w:val="24"/>
        </w:rPr>
        <w:t>5.1评审委员会仅对通过初步评审的比选申请文件进行量化评分。当进入量化评分的比选申请人少于3家时，评审委员会</w:t>
      </w:r>
      <w:r>
        <w:rPr>
          <w:rFonts w:hint="eastAsia" w:ascii="仿宋" w:hAnsi="仿宋" w:eastAsia="仿宋" w:cs="仿宋"/>
          <w:sz w:val="24"/>
          <w:lang w:eastAsia="zh-CN"/>
        </w:rPr>
        <w:t>可终止此次</w:t>
      </w:r>
      <w:r>
        <w:rPr>
          <w:rFonts w:hint="eastAsia" w:ascii="仿宋" w:hAnsi="仿宋" w:eastAsia="仿宋" w:cs="仿宋"/>
          <w:sz w:val="24"/>
        </w:rPr>
        <w:t>评审。</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5.2评审委员会对比选申请文件按以下评分标准进行评分比选，评标结果按评审后得分由高到低顺序排列；得分相同的，按投标报价由低到高顺序排列；得分且投标报价相同的并列，投标文件满足比选文件全部实质性要求且按照评审因素的量化指标评审得分最高的供应商为成交候选供应商；报价相同且满足比选文件全部实质性要求且按照评审因素的量化指标评审得分也相同的并列，由采购人自主采取公平、择优的方式选择成交供应商。评审委员会按排列顺序推荐1名成交候选供应商，并编写比选报告。</w:t>
      </w:r>
    </w:p>
    <w:p>
      <w:pPr>
        <w:pStyle w:val="2"/>
        <w:rPr>
          <w:rFonts w:hint="eastAsia" w:ascii="方正小标宋简体" w:hAnsi="方正小标宋简体" w:eastAsia="方正小标宋简体" w:cs="方正小标宋简体"/>
          <w:sz w:val="36"/>
          <w:szCs w:val="36"/>
          <w:lang w:val="en-US" w:eastAsia="zh-CN"/>
        </w:rPr>
      </w:pPr>
    </w:p>
    <w:p>
      <w:pPr>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w:t>
      </w:r>
    </w:p>
    <w:p>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pPr>
        <w:pStyle w:val="2"/>
        <w:rPr>
          <w:rFonts w:hint="eastAsia"/>
          <w:lang w:val="en-US" w:eastAsia="zh-CN"/>
        </w:rPr>
      </w:pP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采购项目名称：成都市青白江区中医医院采购环保检测服务公司项目</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项目编号：202</w:t>
      </w:r>
      <w:r>
        <w:rPr>
          <w:rFonts w:hint="default" w:ascii="仿宋" w:hAnsi="仿宋" w:eastAsia="仿宋" w:cs="仿宋"/>
          <w:sz w:val="24"/>
          <w:lang w:val="en-US" w:eastAsia="zh-CN"/>
        </w:rPr>
        <w:t>21129</w:t>
      </w:r>
      <w:r>
        <w:rPr>
          <w:rFonts w:hint="eastAsia" w:ascii="仿宋" w:hAnsi="仿宋" w:eastAsia="仿宋" w:cs="仿宋"/>
          <w:sz w:val="24"/>
          <w:lang w:val="en-US" w:eastAsia="zh-CN"/>
        </w:rPr>
        <w:t>-1号</w:t>
      </w:r>
    </w:p>
    <w:p>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时间：</w:t>
      </w:r>
      <w:r>
        <w:rPr>
          <w:rFonts w:hint="default" w:ascii="仿宋" w:hAnsi="仿宋" w:eastAsia="仿宋" w:cs="仿宋"/>
          <w:sz w:val="24"/>
          <w:lang w:val="en-US" w:eastAsia="zh-CN"/>
        </w:rPr>
        <w:t xml:space="preserve">                                         </w:t>
      </w:r>
      <w:r>
        <w:rPr>
          <w:rFonts w:hint="eastAsia" w:ascii="仿宋" w:hAnsi="仿宋" w:eastAsia="仿宋" w:cs="仿宋"/>
          <w:sz w:val="24"/>
          <w:lang w:val="en-US" w:eastAsia="zh-CN"/>
        </w:rPr>
        <w:t>评分人：</w:t>
      </w:r>
    </w:p>
    <w:p>
      <w:pPr>
        <w:rPr>
          <w:rFonts w:hint="default"/>
          <w:lang w:val="en-US" w:eastAsia="zh-CN"/>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6"/>
        <w:gridCol w:w="801"/>
        <w:gridCol w:w="459"/>
        <w:gridCol w:w="5052"/>
        <w:gridCol w:w="888"/>
        <w:gridCol w:w="8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85"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序号</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kern w:val="0"/>
                <w:sz w:val="18"/>
                <w:szCs w:val="18"/>
                <w:u w:val="none"/>
                <w:lang w:val="en-US" w:eastAsia="zh-CN" w:bidi="ar"/>
              </w:rPr>
              <w:t>评分因素</w:t>
            </w:r>
            <w:r>
              <w:rPr>
                <w:rFonts w:hint="eastAsia" w:ascii="宋体" w:hAnsi="宋体" w:cs="宋体"/>
                <w:i w:val="0"/>
                <w:color w:val="auto"/>
                <w:kern w:val="0"/>
                <w:sz w:val="18"/>
                <w:szCs w:val="18"/>
                <w:u w:val="none"/>
                <w:lang w:val="en-US" w:eastAsia="zh-CN" w:bidi="ar"/>
              </w:rPr>
              <w:t>及权重</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分值</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评分标准</w:t>
            </w:r>
          </w:p>
        </w:tc>
        <w:tc>
          <w:tcPr>
            <w:tcW w:w="888"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tabs>
                <w:tab w:val="left" w:pos="276"/>
              </w:tabs>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ab/>
            </w:r>
            <w:r>
              <w:rPr>
                <w:rFonts w:hint="eastAsia" w:ascii="宋体" w:hAnsi="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8"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sz w:val="18"/>
                <w:szCs w:val="21"/>
                <w:lang w:val="en-US" w:eastAsia="zh-CN"/>
              </w:rPr>
            </w:pPr>
            <w:r>
              <w:rPr>
                <w:rFonts w:hint="eastAsia"/>
                <w:sz w:val="18"/>
                <w:szCs w:val="21"/>
                <w:lang w:val="en-US" w:eastAsia="zh-CN"/>
              </w:rPr>
              <w:t>报价</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sz w:val="18"/>
                <w:szCs w:val="21"/>
                <w:lang w:val="en-US" w:eastAsia="zh-CN"/>
              </w:rPr>
            </w:pPr>
            <w:r>
              <w:rPr>
                <w:rFonts w:hint="default"/>
                <w:sz w:val="18"/>
                <w:szCs w:val="21"/>
                <w:lang w:val="en-US" w:eastAsia="zh-CN"/>
              </w:rPr>
              <w:t>3</w:t>
            </w:r>
            <w:r>
              <w:rPr>
                <w:rFonts w:hint="eastAsia"/>
                <w:sz w:val="18"/>
                <w:szCs w:val="21"/>
                <w:lang w:val="en-US" w:eastAsia="zh-CN"/>
              </w:rPr>
              <w:t>0%</w:t>
            </w:r>
          </w:p>
          <w:p>
            <w:pPr>
              <w:pStyle w:val="5"/>
              <w:rPr>
                <w:rFonts w:hint="default"/>
                <w:sz w:val="22"/>
                <w:szCs w:val="22"/>
                <w:lang w:val="en-US"/>
              </w:rPr>
            </w:pP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sz w:val="18"/>
                <w:szCs w:val="18"/>
                <w:u w:val="none"/>
                <w:lang w:val="en-US" w:eastAsia="zh-CN"/>
              </w:rPr>
              <w:t>1、由评标委员会确认投标报价合理性。若有低于成本或严重不符合市场规律的投标报价，则评标委员会集体讨论通过按无效投标处理。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default" w:ascii="宋体" w:hAnsi="宋体" w:eastAsia="宋体" w:cs="宋体"/>
                <w:i w:val="0"/>
                <w:color w:val="auto"/>
                <w:sz w:val="18"/>
                <w:szCs w:val="18"/>
                <w:u w:val="none"/>
                <w:lang w:val="en-US" w:eastAsia="zh-CN"/>
              </w:rPr>
            </w:pPr>
            <w:r>
              <w:rPr>
                <w:rFonts w:hint="eastAsia" w:ascii="宋体" w:hAnsi="宋体" w:eastAsia="宋体" w:cs="宋体"/>
                <w:i w:val="0"/>
                <w:color w:val="auto"/>
                <w:sz w:val="18"/>
                <w:szCs w:val="18"/>
                <w:u w:val="none"/>
                <w:lang w:val="en-US" w:eastAsia="zh-CN"/>
              </w:rPr>
              <w:t>2、综合评分法中的价格分统一采用低价优先法计算，即满足</w:t>
            </w:r>
            <w:r>
              <w:rPr>
                <w:rFonts w:hint="eastAsia" w:ascii="宋体" w:hAnsi="宋体" w:cs="宋体"/>
                <w:i w:val="0"/>
                <w:color w:val="auto"/>
                <w:sz w:val="18"/>
                <w:szCs w:val="18"/>
                <w:u w:val="none"/>
                <w:lang w:val="en-US" w:eastAsia="zh-CN"/>
              </w:rPr>
              <w:t>比选</w:t>
            </w:r>
            <w:r>
              <w:rPr>
                <w:rFonts w:hint="eastAsia" w:ascii="宋体" w:hAnsi="宋体" w:eastAsia="宋体" w:cs="宋体"/>
                <w:i w:val="0"/>
                <w:color w:val="auto"/>
                <w:sz w:val="18"/>
                <w:szCs w:val="18"/>
                <w:u w:val="none"/>
                <w:lang w:val="en-US" w:eastAsia="zh-CN"/>
              </w:rPr>
              <w:t>文件要求且投标价格最低的投标报价为评标基准价，其价格分为满分。其他投标人的价格分统一按照下列公式计算：投标报价得分=(评标基准价／报价)×</w:t>
            </w:r>
            <w:r>
              <w:rPr>
                <w:rFonts w:hint="eastAsia" w:ascii="宋体" w:hAnsi="宋体" w:cs="宋体"/>
                <w:i w:val="0"/>
                <w:color w:val="auto"/>
                <w:sz w:val="18"/>
                <w:szCs w:val="18"/>
                <w:u w:val="none"/>
                <w:lang w:val="en-US" w:eastAsia="zh-CN"/>
              </w:rPr>
              <w:t>30</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sz w:val="18"/>
                <w:szCs w:val="18"/>
                <w:u w:val="none"/>
                <w:lang w:val="en-US" w:eastAsia="zh-CN"/>
              </w:rPr>
              <w:t>注：四舍五入，保留小数点后两位。</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left"/>
              <w:rPr>
                <w:rFonts w:hint="eastAsia" w:ascii="宋体" w:hAnsi="宋体" w:eastAsia="宋体" w:cs="宋体"/>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3"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cs="宋体"/>
                <w:i w:val="0"/>
                <w:color w:val="auto"/>
                <w:sz w:val="18"/>
                <w:szCs w:val="18"/>
                <w:u w:val="none"/>
                <w:lang w:val="en-US" w:eastAsia="zh-CN"/>
              </w:rPr>
            </w:pPr>
            <w:r>
              <w:rPr>
                <w:rFonts w:hint="default" w:ascii="宋体" w:hAnsi="宋体" w:cs="宋体"/>
                <w:i w:val="0"/>
                <w:color w:val="auto"/>
                <w:sz w:val="18"/>
                <w:szCs w:val="18"/>
                <w:u w:val="none"/>
                <w:lang w:val="en-US" w:eastAsia="zh-CN"/>
              </w:rPr>
              <w:t>2</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服务方案</w:t>
            </w:r>
            <w:r>
              <w:rPr>
                <w:rFonts w:hint="default" w:ascii="宋体" w:hAnsi="宋体" w:cs="宋体"/>
                <w:i w:val="0"/>
                <w:color w:val="auto"/>
                <w:kern w:val="0"/>
                <w:sz w:val="18"/>
                <w:szCs w:val="18"/>
                <w:u w:val="none"/>
                <w:lang w:val="en-US" w:eastAsia="zh-CN" w:bidi="ar"/>
              </w:rPr>
              <w:t>40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cs="宋体"/>
                <w:i w:val="0"/>
                <w:color w:val="auto"/>
                <w:kern w:val="0"/>
                <w:sz w:val="18"/>
                <w:szCs w:val="18"/>
                <w:u w:val="none"/>
                <w:lang w:val="en-US" w:eastAsia="zh-CN" w:bidi="ar"/>
              </w:rPr>
            </w:pPr>
            <w:r>
              <w:rPr>
                <w:rFonts w:hint="default" w:ascii="宋体" w:hAnsi="宋体" w:cs="宋体"/>
                <w:i w:val="0"/>
                <w:color w:val="auto"/>
                <w:kern w:val="0"/>
                <w:sz w:val="18"/>
                <w:szCs w:val="18"/>
                <w:u w:val="none"/>
                <w:lang w:val="en-US" w:eastAsia="zh-CN" w:bidi="ar"/>
              </w:rPr>
              <w:t>40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sz w:val="18"/>
                <w:szCs w:val="18"/>
                <w:u w:val="none"/>
                <w:lang w:val="en-US" w:eastAsia="zh-CN"/>
              </w:rPr>
            </w:pPr>
            <w:r>
              <w:rPr>
                <w:rFonts w:hint="eastAsia" w:ascii="宋体" w:hAnsi="宋体" w:eastAsia="宋体" w:cs="宋体"/>
                <w:i w:val="0"/>
                <w:color w:val="auto"/>
                <w:sz w:val="18"/>
                <w:szCs w:val="18"/>
                <w:u w:val="none"/>
                <w:lang w:val="en-US" w:eastAsia="zh-CN"/>
              </w:rPr>
              <w:t>根据供应商对本项目制定的服务方案（包含</w:t>
            </w:r>
            <w:r>
              <w:rPr>
                <w:rFonts w:hint="default" w:ascii="Calibri" w:hAnsi="Calibri" w:cs="Calibri"/>
                <w:i w:val="0"/>
                <w:color w:val="auto"/>
                <w:kern w:val="0"/>
                <w:sz w:val="16"/>
                <w:szCs w:val="16"/>
                <w:u w:val="none"/>
                <w:lang w:val="en-US" w:eastAsia="zh-CN" w:bidi="ar"/>
              </w:rPr>
              <w:t>①</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范围</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②服务内容</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③</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人员配置</w:t>
            </w:r>
            <w:r>
              <w:rPr>
                <w:rFonts w:hint="eastAsia" w:ascii="宋体" w:hAnsi="宋体" w:cs="宋体"/>
                <w:i w:val="0"/>
                <w:color w:val="auto"/>
                <w:kern w:val="0"/>
                <w:sz w:val="18"/>
                <w:szCs w:val="18"/>
                <w:u w:val="none"/>
                <w:lang w:val="en-US" w:eastAsia="zh-CN" w:bidi="ar"/>
              </w:rPr>
              <w:t>；</w:t>
            </w:r>
            <w:r>
              <w:rPr>
                <w:rFonts w:hint="default" w:ascii="Calibri" w:hAnsi="Calibri" w:cs="Calibri"/>
                <w:i w:val="0"/>
                <w:color w:val="auto"/>
                <w:kern w:val="0"/>
                <w:sz w:val="16"/>
                <w:szCs w:val="16"/>
                <w:u w:val="none"/>
                <w:lang w:val="en-US" w:eastAsia="zh-CN" w:bidi="ar"/>
              </w:rPr>
              <w:t>④</w:t>
            </w:r>
            <w:r>
              <w:rPr>
                <w:rFonts w:hint="eastAsia" w:cs="Calibri"/>
                <w:i w:val="0"/>
                <w:color w:val="auto"/>
                <w:kern w:val="0"/>
                <w:sz w:val="16"/>
                <w:szCs w:val="16"/>
                <w:u w:val="none"/>
                <w:lang w:val="en-US" w:eastAsia="zh-CN" w:bidi="ar"/>
              </w:rPr>
              <w:t>服务</w:t>
            </w:r>
            <w:r>
              <w:rPr>
                <w:rFonts w:hint="default" w:ascii="Calibri" w:hAnsi="Calibri" w:cs="Calibri"/>
                <w:i w:val="0"/>
                <w:color w:val="auto"/>
                <w:kern w:val="0"/>
                <w:sz w:val="16"/>
                <w:szCs w:val="16"/>
                <w:u w:val="none"/>
                <w:lang w:val="en-US" w:eastAsia="zh-CN" w:bidi="ar"/>
              </w:rPr>
              <w:t>具体</w:t>
            </w:r>
            <w:r>
              <w:rPr>
                <w:rFonts w:hint="eastAsia" w:cs="Calibri"/>
                <w:i w:val="0"/>
                <w:color w:val="auto"/>
                <w:kern w:val="0"/>
                <w:sz w:val="16"/>
                <w:szCs w:val="16"/>
                <w:u w:val="none"/>
                <w:lang w:val="en-US" w:eastAsia="zh-CN" w:bidi="ar"/>
              </w:rPr>
              <w:t>方案</w:t>
            </w:r>
            <w:r>
              <w:rPr>
                <w:rFonts w:hint="eastAsia" w:ascii="宋体" w:hAnsi="宋体" w:cs="宋体"/>
                <w:i w:val="0"/>
                <w:color w:val="auto"/>
                <w:kern w:val="0"/>
                <w:sz w:val="18"/>
                <w:szCs w:val="18"/>
                <w:u w:val="none"/>
                <w:lang w:val="en-US" w:eastAsia="zh-CN" w:bidi="ar"/>
              </w:rPr>
              <w:t>等；</w:t>
            </w:r>
            <w:r>
              <w:rPr>
                <w:rFonts w:hint="default" w:ascii="Calibri" w:hAnsi="Calibri" w:cs="Calibri"/>
                <w:i w:val="0"/>
                <w:color w:val="auto"/>
                <w:kern w:val="0"/>
                <w:sz w:val="16"/>
                <w:szCs w:val="16"/>
                <w:u w:val="none"/>
                <w:lang w:val="en-US" w:eastAsia="zh-CN" w:bidi="ar"/>
              </w:rPr>
              <w:t>⑤其他</w:t>
            </w:r>
            <w:r>
              <w:rPr>
                <w:rFonts w:hint="eastAsia" w:cs="Calibri"/>
                <w:i w:val="0"/>
                <w:color w:val="auto"/>
                <w:kern w:val="0"/>
                <w:sz w:val="16"/>
                <w:szCs w:val="16"/>
                <w:u w:val="none"/>
                <w:lang w:val="en-US" w:eastAsia="zh-CN" w:bidi="ar"/>
              </w:rPr>
              <w:t>服务</w:t>
            </w:r>
            <w:r>
              <w:rPr>
                <w:rFonts w:hint="eastAsia" w:ascii="宋体" w:hAnsi="宋体" w:cs="宋体"/>
                <w:i w:val="0"/>
                <w:color w:val="auto"/>
                <w:kern w:val="0"/>
                <w:sz w:val="18"/>
                <w:szCs w:val="18"/>
                <w:u w:val="none"/>
                <w:lang w:val="en-US" w:eastAsia="zh-CN" w:bidi="ar"/>
              </w:rPr>
              <w:t>措施等内容</w:t>
            </w:r>
            <w:r>
              <w:rPr>
                <w:rFonts w:hint="eastAsia" w:ascii="宋体" w:hAnsi="宋体" w:eastAsia="宋体" w:cs="宋体"/>
                <w:i w:val="0"/>
                <w:color w:val="auto"/>
                <w:sz w:val="18"/>
                <w:szCs w:val="18"/>
                <w:u w:val="none"/>
                <w:lang w:val="en-US" w:eastAsia="zh-CN"/>
              </w:rPr>
              <w:t xml:space="preserve">；）进行评审：服务方案完全涵盖以上内容、满足本项目要求的得 </w:t>
            </w:r>
            <w:r>
              <w:rPr>
                <w:rFonts w:hint="default" w:ascii="宋体" w:hAnsi="宋体" w:eastAsia="宋体" w:cs="宋体"/>
                <w:i w:val="0"/>
                <w:color w:val="auto"/>
                <w:sz w:val="18"/>
                <w:szCs w:val="18"/>
                <w:u w:val="none"/>
                <w:lang w:val="en-US" w:eastAsia="zh-CN"/>
              </w:rPr>
              <w:t>40</w:t>
            </w:r>
            <w:r>
              <w:rPr>
                <w:rFonts w:hint="eastAsia" w:ascii="宋体" w:hAnsi="宋体" w:eastAsia="宋体" w:cs="宋体"/>
                <w:i w:val="0"/>
                <w:color w:val="auto"/>
                <w:sz w:val="18"/>
                <w:szCs w:val="18"/>
                <w:u w:val="none"/>
                <w:lang w:val="en-US" w:eastAsia="zh-CN"/>
              </w:rPr>
              <w:t xml:space="preserve"> 分，每缺一项扣</w:t>
            </w:r>
            <w:r>
              <w:rPr>
                <w:rFonts w:hint="default" w:ascii="宋体" w:hAnsi="宋体" w:eastAsia="宋体" w:cs="宋体"/>
                <w:i w:val="0"/>
                <w:color w:val="auto"/>
                <w:sz w:val="18"/>
                <w:szCs w:val="18"/>
                <w:u w:val="none"/>
                <w:lang w:val="en-US" w:eastAsia="zh-CN"/>
              </w:rPr>
              <w:t>8</w:t>
            </w:r>
            <w:r>
              <w:rPr>
                <w:rFonts w:hint="eastAsia" w:ascii="宋体" w:hAnsi="宋体" w:eastAsia="宋体" w:cs="宋体"/>
                <w:i w:val="0"/>
                <w:color w:val="auto"/>
                <w:sz w:val="18"/>
                <w:szCs w:val="18"/>
                <w:u w:val="none"/>
                <w:lang w:val="en-US" w:eastAsia="zh-CN"/>
              </w:rPr>
              <w:t>分，每有一处内容不详细或不合理或不符合项目实际情况的扣</w:t>
            </w:r>
            <w:r>
              <w:rPr>
                <w:rFonts w:hint="default" w:ascii="宋体" w:hAnsi="宋体" w:eastAsia="宋体" w:cs="宋体"/>
                <w:i w:val="0"/>
                <w:color w:val="auto"/>
                <w:sz w:val="18"/>
                <w:szCs w:val="18"/>
                <w:u w:val="none"/>
                <w:lang w:val="en-US" w:eastAsia="zh-CN"/>
              </w:rPr>
              <w:t>5</w:t>
            </w:r>
            <w:r>
              <w:rPr>
                <w:rFonts w:hint="eastAsia" w:ascii="宋体" w:hAnsi="宋体" w:eastAsia="宋体" w:cs="宋体"/>
                <w:i w:val="0"/>
                <w:color w:val="auto"/>
                <w:sz w:val="18"/>
                <w:szCs w:val="18"/>
                <w:u w:val="none"/>
                <w:lang w:val="en-US" w:eastAsia="zh-CN"/>
              </w:rPr>
              <w:t xml:space="preserve"> 分，直至扣完为止。</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sz w:val="18"/>
                <w:szCs w:val="18"/>
                <w:u w:val="none"/>
                <w:lang w:val="en-US" w:eastAsia="zh-CN"/>
              </w:rPr>
              <w:t>注：“内容不详细或不合理或不符合项目实际情况”是指：供应商所提供的内容存在不适用项目实际情况的情形、套用其他方案、凭空编造、逻辑漏洞、科学原理错误以及不可能实现的夸大情形等情况。</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eastAsia="zh-CN"/>
              </w:rPr>
            </w:pPr>
            <w:r>
              <w:rPr>
                <w:rFonts w:hint="default" w:ascii="宋体" w:hAnsi="宋体" w:cs="宋体"/>
                <w:i w:val="0"/>
                <w:color w:val="auto"/>
                <w:sz w:val="18"/>
                <w:szCs w:val="18"/>
                <w:u w:val="none"/>
                <w:lang w:val="en-US" w:eastAsia="zh-CN"/>
              </w:rPr>
              <w:t>3</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售后</w:t>
            </w:r>
            <w:r>
              <w:rPr>
                <w:rFonts w:hint="eastAsia" w:ascii="宋体" w:hAnsi="宋体" w:eastAsia="宋体" w:cs="宋体"/>
                <w:i w:val="0"/>
                <w:color w:val="auto"/>
                <w:kern w:val="0"/>
                <w:sz w:val="18"/>
                <w:szCs w:val="18"/>
                <w:u w:val="none"/>
                <w:lang w:val="en-US" w:eastAsia="zh-CN" w:bidi="ar"/>
              </w:rPr>
              <w:t>服务</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lang w:val="en-US" w:eastAsia="zh-CN"/>
              </w:rPr>
            </w:pPr>
            <w:r>
              <w:rPr>
                <w:rFonts w:hint="default" w:ascii="宋体" w:hAnsi="宋体" w:eastAsia="宋体" w:cs="宋体"/>
                <w:i w:val="0"/>
                <w:color w:val="auto"/>
                <w:kern w:val="0"/>
                <w:sz w:val="18"/>
                <w:szCs w:val="18"/>
                <w:u w:val="none"/>
                <w:lang w:val="en-US" w:eastAsia="zh-CN" w:bidi="ar"/>
              </w:rPr>
              <w:t>15%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sz w:val="18"/>
                <w:szCs w:val="18"/>
                <w:u w:val="none"/>
                <w:lang w:val="en-US"/>
              </w:rPr>
            </w:pPr>
            <w:r>
              <w:rPr>
                <w:rFonts w:hint="default" w:ascii="宋体" w:hAnsi="宋体" w:cs="宋体"/>
                <w:i w:val="0"/>
                <w:color w:val="auto"/>
                <w:sz w:val="18"/>
                <w:szCs w:val="18"/>
                <w:u w:val="none"/>
                <w:lang w:val="en-US"/>
              </w:rPr>
              <w:t>15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1、根据供应商的质量保证承诺、售后服务承诺、售后服务响应时间等情况进行评分。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（1）提供质量保证承诺，得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（2）提供售后服务承诺，得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cs="宋体"/>
                <w:i w:val="0"/>
                <w:color w:val="auto"/>
                <w:kern w:val="0"/>
                <w:sz w:val="18"/>
                <w:szCs w:val="18"/>
                <w:u w:val="none"/>
                <w:lang w:val="en-US" w:eastAsia="zh-CN" w:bidi="ar"/>
              </w:rPr>
            </w:pPr>
            <w:r>
              <w:rPr>
                <w:rFonts w:hint="eastAsia" w:ascii="宋体" w:hAnsi="宋体" w:cs="宋体"/>
                <w:i w:val="0"/>
                <w:color w:val="auto"/>
                <w:kern w:val="0"/>
                <w:sz w:val="18"/>
                <w:szCs w:val="18"/>
                <w:u w:val="none"/>
                <w:lang w:val="en-US" w:eastAsia="zh-CN" w:bidi="ar"/>
              </w:rPr>
              <w:t>（3）1小时内进行售后服务响应，得</w:t>
            </w:r>
            <w:r>
              <w:rPr>
                <w:rFonts w:hint="default" w:ascii="宋体" w:hAnsi="宋体" w:cs="宋体"/>
                <w:i w:val="0"/>
                <w:color w:val="auto"/>
                <w:kern w:val="0"/>
                <w:sz w:val="18"/>
                <w:szCs w:val="18"/>
                <w:u w:val="none"/>
                <w:lang w:val="en-US" w:eastAsia="zh-CN" w:bidi="ar"/>
              </w:rPr>
              <w:t>3</w:t>
            </w:r>
            <w:r>
              <w:rPr>
                <w:rFonts w:hint="eastAsia" w:ascii="宋体" w:hAnsi="宋体" w:cs="宋体"/>
                <w:i w:val="0"/>
                <w:color w:val="auto"/>
                <w:kern w:val="0"/>
                <w:sz w:val="18"/>
                <w:szCs w:val="18"/>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sz w:val="18"/>
                <w:szCs w:val="18"/>
                <w:lang w:eastAsia="zh-CN"/>
              </w:rPr>
            </w:pPr>
            <w:r>
              <w:rPr>
                <w:rFonts w:hint="eastAsia" w:ascii="宋体" w:hAnsi="宋体" w:cs="宋体"/>
                <w:i w:val="0"/>
                <w:color w:val="auto"/>
                <w:kern w:val="0"/>
                <w:sz w:val="18"/>
                <w:szCs w:val="18"/>
                <w:u w:val="none"/>
                <w:lang w:val="en-US" w:eastAsia="zh-CN" w:bidi="ar"/>
              </w:rPr>
              <w:t>2、参加比选供应商提供的应急处理方案包括：</w:t>
            </w:r>
            <w:r>
              <w:rPr>
                <w:rFonts w:hint="default" w:ascii="Calibri" w:hAnsi="Calibri" w:cs="Calibri"/>
                <w:i w:val="0"/>
                <w:color w:val="auto"/>
                <w:kern w:val="0"/>
                <w:sz w:val="16"/>
                <w:szCs w:val="16"/>
                <w:u w:val="none"/>
                <w:lang w:val="en-US" w:eastAsia="zh-CN" w:bidi="ar"/>
              </w:rPr>
              <w:t>①</w:t>
            </w:r>
            <w:r>
              <w:rPr>
                <w:rFonts w:hint="eastAsia" w:cs="Calibri"/>
                <w:i w:val="0"/>
                <w:color w:val="auto"/>
                <w:kern w:val="0"/>
                <w:sz w:val="18"/>
                <w:szCs w:val="18"/>
                <w:u w:val="none"/>
                <w:lang w:val="en-US" w:eastAsia="zh-CN" w:bidi="ar"/>
              </w:rPr>
              <w:t>针对本项目实际的解决办法，并提供案例分析</w:t>
            </w:r>
            <w:r>
              <w:rPr>
                <w:rFonts w:hint="default" w:ascii="Calibri" w:hAnsi="Calibri" w:cs="Calibri"/>
                <w:i w:val="0"/>
                <w:color w:val="auto"/>
                <w:kern w:val="0"/>
                <w:sz w:val="16"/>
                <w:szCs w:val="16"/>
                <w:u w:val="none"/>
                <w:lang w:val="en-US" w:eastAsia="zh-CN" w:bidi="ar"/>
              </w:rPr>
              <w:t>②</w:t>
            </w:r>
            <w:r>
              <w:rPr>
                <w:rFonts w:hint="eastAsia" w:cs="Calibri"/>
                <w:i w:val="0"/>
                <w:color w:val="auto"/>
                <w:kern w:val="0"/>
                <w:sz w:val="18"/>
                <w:szCs w:val="18"/>
                <w:u w:val="none"/>
                <w:lang w:val="en-US" w:eastAsia="zh-CN" w:bidi="ar"/>
              </w:rPr>
              <w:t>应急处理的时间</w:t>
            </w:r>
            <w:r>
              <w:rPr>
                <w:rFonts w:hint="default" w:ascii="Calibri" w:hAnsi="Calibri" w:cs="Calibri"/>
                <w:i w:val="0"/>
                <w:color w:val="auto"/>
                <w:kern w:val="0"/>
                <w:sz w:val="16"/>
                <w:szCs w:val="16"/>
                <w:u w:val="none"/>
                <w:lang w:val="en-US" w:eastAsia="zh-CN" w:bidi="ar"/>
              </w:rPr>
              <w:t>③</w:t>
            </w:r>
            <w:r>
              <w:rPr>
                <w:rFonts w:hint="eastAsia" w:cs="Calibri"/>
                <w:i w:val="0"/>
                <w:color w:val="auto"/>
                <w:kern w:val="0"/>
                <w:sz w:val="18"/>
                <w:szCs w:val="18"/>
                <w:u w:val="none"/>
                <w:lang w:val="en-US" w:eastAsia="zh-CN" w:bidi="ar"/>
              </w:rPr>
              <w:t>人员协调安排</w:t>
            </w:r>
            <w:r>
              <w:rPr>
                <w:rFonts w:hint="eastAsia" w:ascii="宋体" w:hAnsi="宋体" w:eastAsia="宋体" w:cs="宋体"/>
                <w:i w:val="0"/>
                <w:color w:val="auto"/>
                <w:kern w:val="0"/>
                <w:sz w:val="18"/>
                <w:szCs w:val="18"/>
                <w:u w:val="none"/>
                <w:lang w:val="en-US" w:eastAsia="zh-CN" w:bidi="ar"/>
              </w:rPr>
              <w:t>，以上内容齐全、描述细致、满足招标文件要求、符合行业特征或实际情况得</w:t>
            </w:r>
            <w:r>
              <w:rPr>
                <w:rFonts w:hint="default" w:ascii="宋体" w:hAnsi="宋体" w:cs="宋体"/>
                <w:i w:val="0"/>
                <w:color w:val="auto"/>
                <w:kern w:val="0"/>
                <w:sz w:val="18"/>
                <w:szCs w:val="18"/>
                <w:u w:val="none"/>
                <w:lang w:val="en-US" w:eastAsia="zh-CN" w:bidi="ar"/>
              </w:rPr>
              <w:t>6</w:t>
            </w:r>
            <w:r>
              <w:rPr>
                <w:rFonts w:hint="eastAsia" w:ascii="宋体" w:hAnsi="宋体" w:eastAsia="宋体" w:cs="宋体"/>
                <w:i w:val="0"/>
                <w:color w:val="auto"/>
                <w:kern w:val="0"/>
                <w:sz w:val="18"/>
                <w:szCs w:val="18"/>
                <w:u w:val="none"/>
                <w:lang w:val="en-US" w:eastAsia="zh-CN" w:bidi="ar"/>
              </w:rPr>
              <w:t>分</w:t>
            </w:r>
            <w:r>
              <w:rPr>
                <w:rFonts w:hint="eastAsia" w:ascii="宋体" w:hAnsi="宋体" w:cs="宋体"/>
                <w:i w:val="0"/>
                <w:color w:val="auto"/>
                <w:kern w:val="0"/>
                <w:sz w:val="18"/>
                <w:szCs w:val="18"/>
                <w:u w:val="none"/>
                <w:lang w:val="en-US" w:eastAsia="zh-CN" w:bidi="ar"/>
              </w:rPr>
              <w:t>；</w:t>
            </w:r>
            <w:r>
              <w:rPr>
                <w:rFonts w:hint="eastAsia" w:ascii="宋体" w:hAnsi="宋体" w:eastAsia="宋体" w:cs="宋体"/>
                <w:i w:val="0"/>
                <w:color w:val="auto"/>
                <w:kern w:val="0"/>
                <w:sz w:val="18"/>
                <w:szCs w:val="18"/>
                <w:u w:val="none"/>
                <w:lang w:val="en-US" w:eastAsia="zh-CN" w:bidi="ar"/>
              </w:rPr>
              <w:t>方案中每有一项不切实</w:t>
            </w:r>
            <w:r>
              <w:rPr>
                <w:rFonts w:hint="eastAsia" w:ascii="宋体" w:hAnsi="宋体" w:cs="宋体"/>
                <w:i w:val="0"/>
                <w:color w:val="auto"/>
                <w:kern w:val="0"/>
                <w:sz w:val="18"/>
                <w:szCs w:val="18"/>
                <w:u w:val="none"/>
                <w:lang w:val="en-US" w:eastAsia="zh-CN" w:bidi="ar"/>
              </w:rPr>
              <w:t>可行</w:t>
            </w:r>
            <w:r>
              <w:rPr>
                <w:rFonts w:hint="eastAsia" w:ascii="宋体" w:hAnsi="宋体" w:eastAsia="宋体" w:cs="宋体"/>
                <w:i w:val="0"/>
                <w:color w:val="auto"/>
                <w:kern w:val="0"/>
                <w:sz w:val="18"/>
                <w:szCs w:val="18"/>
                <w:u w:val="none"/>
                <w:lang w:val="en-US" w:eastAsia="zh-CN" w:bidi="ar"/>
              </w:rPr>
              <w:t>或内容不完整或不具有操作性的每项扣</w:t>
            </w:r>
            <w:r>
              <w:rPr>
                <w:rFonts w:hint="default" w:ascii="宋体" w:hAnsi="宋体" w:cs="宋体"/>
                <w:i w:val="0"/>
                <w:color w:val="auto"/>
                <w:kern w:val="0"/>
                <w:sz w:val="18"/>
                <w:szCs w:val="18"/>
                <w:u w:val="none"/>
                <w:lang w:val="en-US" w:eastAsia="zh-CN" w:bidi="ar"/>
              </w:rPr>
              <w:t>2</w:t>
            </w:r>
            <w:r>
              <w:rPr>
                <w:rFonts w:hint="eastAsia" w:ascii="宋体" w:hAnsi="宋体" w:eastAsia="宋体" w:cs="宋体"/>
                <w:i w:val="0"/>
                <w:color w:val="auto"/>
                <w:kern w:val="0"/>
                <w:sz w:val="18"/>
                <w:szCs w:val="18"/>
                <w:u w:val="none"/>
                <w:lang w:val="en-US" w:eastAsia="zh-CN" w:bidi="ar"/>
              </w:rPr>
              <w:t>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sz w:val="18"/>
                <w:szCs w:val="18"/>
                <w:u w:val="none"/>
                <w:lang w:val="en-US" w:eastAsia="zh-CN"/>
              </w:rPr>
              <w:t>4</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业绩</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r>
              <w:rPr>
                <w:rFonts w:hint="eastAsia" w:ascii="宋体" w:hAnsi="宋体" w:cs="宋体"/>
                <w:i w:val="0"/>
                <w:color w:val="auto"/>
                <w:kern w:val="0"/>
                <w:sz w:val="18"/>
                <w:szCs w:val="18"/>
                <w:u w:val="none"/>
                <w:lang w:val="en-US" w:eastAsia="zh-CN" w:bidi="ar"/>
              </w:rPr>
              <w:t>%</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default" w:ascii="宋体" w:hAnsi="宋体" w:cs="宋体"/>
                <w:i w:val="0"/>
                <w:color w:val="auto"/>
                <w:kern w:val="0"/>
                <w:sz w:val="18"/>
                <w:szCs w:val="18"/>
                <w:u w:val="none"/>
                <w:lang w:val="en-US" w:eastAsia="zh-CN" w:bidi="ar"/>
              </w:rPr>
              <w:t>10</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提供201</w:t>
            </w:r>
            <w:r>
              <w:rPr>
                <w:rFonts w:hint="default" w:ascii="宋体" w:hAnsi="宋体" w:eastAsia="宋体" w:cs="宋体"/>
                <w:i w:val="0"/>
                <w:color w:val="auto"/>
                <w:kern w:val="0"/>
                <w:sz w:val="18"/>
                <w:szCs w:val="18"/>
                <w:u w:val="none"/>
                <w:lang w:val="en-US" w:eastAsia="zh-CN" w:bidi="ar"/>
              </w:rPr>
              <w:t>9</w:t>
            </w:r>
            <w:r>
              <w:rPr>
                <w:rFonts w:hint="eastAsia" w:ascii="宋体" w:hAnsi="宋体" w:eastAsia="宋体" w:cs="宋体"/>
                <w:i w:val="0"/>
                <w:color w:val="auto"/>
                <w:kern w:val="0"/>
                <w:sz w:val="18"/>
                <w:szCs w:val="18"/>
                <w:u w:val="none"/>
                <w:lang w:val="en-US" w:eastAsia="zh-CN" w:bidi="ar"/>
              </w:rPr>
              <w:t>年至今签订的与本项目相关的业绩，需提供合同关键页复印件或扫描件（包括但不限于首页、签字页、盖章页 ）每提供一份有效合同得2分，最高得</w:t>
            </w:r>
            <w:r>
              <w:rPr>
                <w:rFonts w:hint="default" w:ascii="宋体" w:hAnsi="宋体" w:eastAsia="宋体" w:cs="宋体"/>
                <w:i w:val="0"/>
                <w:color w:val="auto"/>
                <w:kern w:val="0"/>
                <w:sz w:val="18"/>
                <w:szCs w:val="18"/>
                <w:u w:val="none"/>
                <w:lang w:val="en-US" w:eastAsia="zh-CN" w:bidi="ar"/>
              </w:rPr>
              <w:t>10</w:t>
            </w:r>
            <w:r>
              <w:rPr>
                <w:rFonts w:hint="eastAsia" w:ascii="宋体" w:hAnsi="宋体" w:eastAsia="宋体" w:cs="宋体"/>
                <w:i w:val="0"/>
                <w:color w:val="auto"/>
                <w:kern w:val="0"/>
                <w:sz w:val="18"/>
                <w:szCs w:val="18"/>
                <w:u w:val="none"/>
                <w:lang w:val="en-US" w:eastAsia="zh-CN" w:bidi="ar"/>
              </w:rPr>
              <w:t>分。未提供或者提供不符合要求的不得分。</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default" w:ascii="宋体" w:hAnsi="宋体" w:cs="宋体"/>
                <w:i w:val="0"/>
                <w:color w:val="000000"/>
                <w:sz w:val="18"/>
                <w:szCs w:val="18"/>
                <w:u w:val="none"/>
                <w:lang w:val="en-US" w:eastAsia="zh-CN"/>
              </w:rPr>
              <w:t>5</w:t>
            </w: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投标文件的规范性</w:t>
            </w:r>
            <w:r>
              <w:rPr>
                <w:rFonts w:hint="eastAsia" w:ascii="宋体" w:hAnsi="宋体" w:cs="宋体"/>
                <w:i w:val="0"/>
                <w:color w:val="auto"/>
                <w:kern w:val="0"/>
                <w:sz w:val="18"/>
                <w:szCs w:val="18"/>
                <w:u w:val="none"/>
                <w:lang w:val="en-US" w:eastAsia="zh-CN" w:bidi="ar"/>
              </w:rPr>
              <w:t>5%</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cs="宋体"/>
                <w:i w:val="0"/>
                <w:color w:val="auto"/>
                <w:kern w:val="0"/>
                <w:sz w:val="18"/>
                <w:szCs w:val="18"/>
                <w:u w:val="none"/>
                <w:lang w:val="en-US" w:eastAsia="zh-CN" w:bidi="ar"/>
              </w:rPr>
              <w:t>5</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auto"/>
                <w:kern w:val="2"/>
                <w:sz w:val="18"/>
                <w:szCs w:val="18"/>
                <w:u w:val="none"/>
                <w:lang w:val="en-US" w:eastAsia="zh-CN" w:bidi="ar-SA"/>
              </w:rPr>
            </w:pPr>
            <w:r>
              <w:rPr>
                <w:rFonts w:hint="eastAsia" w:ascii="宋体" w:hAnsi="宋体" w:eastAsia="宋体" w:cs="宋体"/>
                <w:i w:val="0"/>
                <w:color w:val="auto"/>
                <w:kern w:val="0"/>
                <w:sz w:val="18"/>
                <w:szCs w:val="18"/>
                <w:u w:val="none"/>
                <w:lang w:val="en-US" w:eastAsia="zh-CN" w:bidi="ar"/>
              </w:rPr>
              <w:t>投标文件制作规范，没有细微偏差情形的得</w:t>
            </w:r>
            <w:r>
              <w:rPr>
                <w:rFonts w:hint="eastAsia" w:ascii="宋体" w:hAnsi="宋体" w:cs="宋体"/>
                <w:i w:val="0"/>
                <w:color w:val="auto"/>
                <w:kern w:val="0"/>
                <w:sz w:val="18"/>
                <w:szCs w:val="18"/>
                <w:u w:val="none"/>
                <w:lang w:val="en-US" w:eastAsia="zh-CN" w:bidi="ar"/>
              </w:rPr>
              <w:t>5</w:t>
            </w:r>
            <w:r>
              <w:rPr>
                <w:rFonts w:hint="eastAsia" w:ascii="宋体" w:hAnsi="宋体" w:eastAsia="宋体" w:cs="宋体"/>
                <w:i w:val="0"/>
                <w:color w:val="auto"/>
                <w:kern w:val="0"/>
                <w:sz w:val="18"/>
                <w:szCs w:val="18"/>
                <w:u w:val="none"/>
                <w:lang w:val="en-US" w:eastAsia="zh-CN" w:bidi="ar"/>
              </w:rPr>
              <w:t>分；有一项细微偏差扣</w:t>
            </w:r>
            <w:r>
              <w:rPr>
                <w:rFonts w:hint="eastAsia" w:ascii="宋体" w:hAnsi="宋体" w:cs="宋体"/>
                <w:i w:val="0"/>
                <w:color w:val="auto"/>
                <w:kern w:val="0"/>
                <w:sz w:val="18"/>
                <w:szCs w:val="18"/>
                <w:u w:val="none"/>
                <w:lang w:val="en-US" w:eastAsia="zh-CN" w:bidi="ar"/>
              </w:rPr>
              <w:t>1</w:t>
            </w:r>
            <w:r>
              <w:rPr>
                <w:rFonts w:hint="eastAsia" w:ascii="宋体" w:hAnsi="宋体" w:eastAsia="宋体" w:cs="宋体"/>
                <w:i w:val="0"/>
                <w:color w:val="auto"/>
                <w:kern w:val="0"/>
                <w:sz w:val="18"/>
                <w:szCs w:val="18"/>
                <w:u w:val="none"/>
                <w:lang w:val="en-US" w:eastAsia="zh-CN" w:bidi="ar"/>
              </w:rPr>
              <w:t>分，扣完为止。</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7" w:hRule="atLeast"/>
        </w:trPr>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000000"/>
                <w:kern w:val="2"/>
                <w:sz w:val="18"/>
                <w:szCs w:val="18"/>
                <w:u w:val="none"/>
                <w:lang w:val="en-US" w:eastAsia="zh-CN" w:bidi="ar-SA"/>
              </w:rPr>
            </w:pPr>
          </w:p>
        </w:tc>
        <w:tc>
          <w:tcPr>
            <w:tcW w:w="8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合计</w:t>
            </w:r>
          </w:p>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color w:val="000000"/>
                <w:kern w:val="2"/>
                <w:sz w:val="18"/>
                <w:szCs w:val="18"/>
                <w:u w:val="none"/>
                <w:lang w:val="en-US" w:eastAsia="zh-CN" w:bidi="ar-SA"/>
              </w:rPr>
            </w:pPr>
            <w:r>
              <w:rPr>
                <w:rFonts w:hint="default" w:ascii="宋体" w:hAnsi="宋体" w:cs="宋体"/>
                <w:i w:val="0"/>
                <w:color w:val="000000"/>
                <w:kern w:val="0"/>
                <w:sz w:val="18"/>
                <w:szCs w:val="18"/>
                <w:u w:val="none"/>
                <w:lang w:val="en-US" w:eastAsia="zh-CN" w:bidi="ar"/>
              </w:rPr>
              <w:t>100%</w:t>
            </w:r>
          </w:p>
        </w:tc>
        <w:tc>
          <w:tcPr>
            <w:tcW w:w="4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50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left"/>
              <w:textAlignment w:val="center"/>
              <w:rPr>
                <w:rFonts w:hint="eastAsia" w:ascii="宋体" w:hAnsi="宋体" w:eastAsia="宋体" w:cs="宋体"/>
                <w:i w:val="0"/>
                <w:color w:val="000000"/>
                <w:kern w:val="2"/>
                <w:sz w:val="18"/>
                <w:szCs w:val="18"/>
                <w:u w:val="none"/>
                <w:lang w:val="en-US" w:eastAsia="zh-CN" w:bidi="ar-SA"/>
              </w:rPr>
            </w:pPr>
            <w:r>
              <w:rPr>
                <w:rFonts w:hint="eastAsia" w:ascii="宋体" w:hAnsi="宋体" w:eastAsia="宋体" w:cs="宋体"/>
                <w:i w:val="0"/>
                <w:color w:val="000000"/>
                <w:kern w:val="0"/>
                <w:sz w:val="18"/>
                <w:szCs w:val="18"/>
                <w:u w:val="none"/>
                <w:lang w:val="en-US" w:eastAsia="zh-CN" w:bidi="ar"/>
              </w:rPr>
              <w:t>/</w:t>
            </w: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18"/>
                <w:szCs w:val="18"/>
                <w:u w:val="none"/>
              </w:rPr>
            </w:pPr>
          </w:p>
        </w:tc>
      </w:tr>
    </w:tbl>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方正黑体简体" w:hAnsi="方正黑体简体" w:eastAsia="方正黑体简体" w:cs="方正黑体简体"/>
          <w:sz w:val="32"/>
          <w:szCs w:val="32"/>
          <w:lang w:eastAsia="zh-CN"/>
        </w:rPr>
        <w:sectPr>
          <w:footerReference r:id="rId3" w:type="default"/>
          <w:pgSz w:w="11905" w:h="16838"/>
          <w:pgMar w:top="1440" w:right="1803" w:bottom="1440" w:left="1803" w:header="851" w:footer="992" w:gutter="0"/>
          <w:pgBorders w:offsetFrom="page">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方正黑体简体" w:hAnsi="方正黑体简体" w:eastAsia="方正黑体简体" w:cs="方正黑体简体"/>
          <w:sz w:val="24"/>
          <w:szCs w:val="24"/>
          <w:lang w:eastAsia="zh-CN"/>
        </w:rPr>
      </w:pPr>
      <w:r>
        <w:rPr>
          <w:rFonts w:hint="eastAsia" w:ascii="方正黑体简体" w:hAnsi="方正黑体简体" w:eastAsia="方正黑体简体" w:cs="方正黑体简体"/>
          <w:sz w:val="24"/>
          <w:szCs w:val="24"/>
          <w:lang w:eastAsia="zh-CN"/>
        </w:rPr>
        <w:t>附件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b/>
          <w:bCs/>
          <w:sz w:val="21"/>
          <w:szCs w:val="21"/>
          <w:lang w:eastAsia="zh-CN"/>
        </w:rPr>
      </w:pPr>
      <w:r>
        <w:rPr>
          <w:rFonts w:hint="eastAsia" w:ascii="方正小标宋简体" w:hAnsi="方正小标宋简体" w:eastAsia="方正小标宋简体" w:cs="方正小标宋简体"/>
          <w:b w:val="0"/>
          <w:bCs w:val="0"/>
          <w:sz w:val="36"/>
          <w:szCs w:val="36"/>
          <w:lang w:val="en-US" w:eastAsia="zh-CN"/>
        </w:rPr>
        <w:t>成都市青白江区中医医院</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环保检测项目清单</w:t>
      </w:r>
    </w:p>
    <w:tbl>
      <w:tblPr>
        <w:tblStyle w:val="9"/>
        <w:tblpPr w:leftFromText="180" w:rightFromText="180" w:vertAnchor="text" w:horzAnchor="page" w:tblpXSpec="center" w:tblpY="315"/>
        <w:tblOverlap w:val="never"/>
        <w:tblW w:w="9257" w:type="dxa"/>
        <w:jc w:val="center"/>
        <w:tblLayout w:type="fixed"/>
        <w:tblCellMar>
          <w:top w:w="0" w:type="dxa"/>
          <w:left w:w="0" w:type="dxa"/>
          <w:bottom w:w="0" w:type="dxa"/>
          <w:right w:w="0" w:type="dxa"/>
        </w:tblCellMar>
      </w:tblPr>
      <w:tblGrid>
        <w:gridCol w:w="1368"/>
        <w:gridCol w:w="2811"/>
        <w:gridCol w:w="3491"/>
        <w:gridCol w:w="1587"/>
      </w:tblGrid>
      <w:tr>
        <w:tblPrEx>
          <w:tblCellMar>
            <w:top w:w="0" w:type="dxa"/>
            <w:left w:w="0" w:type="dxa"/>
            <w:bottom w:w="0" w:type="dxa"/>
            <w:right w:w="0" w:type="dxa"/>
          </w:tblCellMar>
        </w:tblPrEx>
        <w:trPr>
          <w:trHeight w:val="256" w:hRule="atLeast"/>
          <w:jc w:val="center"/>
        </w:trPr>
        <w:tc>
          <w:tcPr>
            <w:tcW w:w="13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项目</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指标</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kern w:val="0"/>
                <w:sz w:val="28"/>
                <w:szCs w:val="28"/>
                <w:lang w:val="en-US" w:eastAsia="zh-CN"/>
              </w:rPr>
            </w:pPr>
            <w:r>
              <w:rPr>
                <w:rFonts w:hint="eastAsia" w:ascii="方正黑体简体" w:hAnsi="方正黑体简体" w:eastAsia="方正黑体简体" w:cs="方正黑体简体"/>
                <w:b w:val="0"/>
                <w:bCs/>
                <w:color w:val="000000"/>
                <w:kern w:val="0"/>
                <w:sz w:val="28"/>
                <w:szCs w:val="28"/>
                <w:lang w:val="en-US" w:eastAsia="zh-CN"/>
              </w:rPr>
              <w:t>采样方法及个数</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8"/>
                <w:szCs w:val="28"/>
              </w:rPr>
            </w:pPr>
            <w:r>
              <w:rPr>
                <w:rFonts w:hint="eastAsia" w:ascii="方正黑体简体" w:hAnsi="方正黑体简体" w:eastAsia="方正黑体简体" w:cs="方正黑体简体"/>
                <w:b w:val="0"/>
                <w:bCs/>
                <w:color w:val="000000"/>
                <w:kern w:val="0"/>
                <w:sz w:val="28"/>
                <w:szCs w:val="28"/>
                <w:lang w:val="en-US" w:eastAsia="zh-CN"/>
              </w:rPr>
              <w:t>检测</w:t>
            </w:r>
            <w:r>
              <w:rPr>
                <w:rFonts w:hint="eastAsia" w:ascii="方正黑体简体" w:hAnsi="方正黑体简体" w:eastAsia="方正黑体简体" w:cs="方正黑体简体"/>
                <w:b w:val="0"/>
                <w:bCs/>
                <w:color w:val="000000"/>
                <w:kern w:val="0"/>
                <w:sz w:val="28"/>
                <w:szCs w:val="28"/>
              </w:rPr>
              <w:t>频次</w:t>
            </w:r>
          </w:p>
        </w:tc>
      </w:tr>
      <w:tr>
        <w:tblPrEx>
          <w:tblCellMar>
            <w:top w:w="0" w:type="dxa"/>
            <w:left w:w="0" w:type="dxa"/>
            <w:bottom w:w="0" w:type="dxa"/>
            <w:right w:w="0" w:type="dxa"/>
          </w:tblCellMar>
        </w:tblPrEx>
        <w:trPr>
          <w:trHeight w:val="256" w:hRule="atLeast"/>
          <w:jc w:val="center"/>
        </w:trPr>
        <w:tc>
          <w:tcPr>
            <w:tcW w:w="1368"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rPr>
              <w:t>废水</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粪大肠菌数</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eastAsia="zh-CN"/>
              </w:rPr>
            </w:pPr>
            <w:r>
              <w:rPr>
                <w:rFonts w:hint="eastAsia" w:ascii="方正仿宋简体" w:hAnsi="方正仿宋简体" w:eastAsia="方正仿宋简体" w:cs="方正仿宋简体"/>
                <w:color w:val="000000"/>
                <w:kern w:val="0"/>
                <w:sz w:val="24"/>
                <w:lang w:val="en-US" w:eastAsia="zh-CN"/>
              </w:rPr>
              <w:t>1</w:t>
            </w:r>
            <w:r>
              <w:rPr>
                <w:rFonts w:hint="eastAsia" w:ascii="方正仿宋简体" w:hAnsi="方正仿宋简体" w:eastAsia="方正仿宋简体" w:cs="方正仿宋简体"/>
                <w:color w:val="000000"/>
                <w:kern w:val="0"/>
                <w:sz w:val="24"/>
              </w:rPr>
              <w:t>次</w:t>
            </w:r>
            <w:r>
              <w:rPr>
                <w:rFonts w:hint="eastAsia" w:ascii="方正仿宋简体" w:hAnsi="方正仿宋简体" w:eastAsia="方正仿宋简体" w:cs="方正仿宋简体"/>
                <w:color w:val="000000"/>
                <w:kern w:val="0"/>
                <w:sz w:val="24"/>
                <w:lang w:val="en-US" w:eastAsia="zh-CN"/>
              </w:rPr>
              <w:t>/</w:t>
            </w:r>
            <w:r>
              <w:rPr>
                <w:rFonts w:hint="eastAsia" w:ascii="方正仿宋简体" w:hAnsi="方正仿宋简体" w:eastAsia="方正仿宋简体" w:cs="方正仿宋简体"/>
                <w:color w:val="000000"/>
                <w:kern w:val="0"/>
                <w:sz w:val="24"/>
                <w:lang w:eastAsia="zh-CN"/>
              </w:rPr>
              <w:t>月</w:t>
            </w: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总余氯</w:t>
            </w:r>
          </w:p>
        </w:tc>
        <w:tc>
          <w:tcPr>
            <w:tcW w:w="349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587"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lang w:val="en-US" w:eastAsia="zh-CN"/>
              </w:rPr>
            </w:pPr>
            <w:r>
              <w:rPr>
                <w:rFonts w:hint="eastAsia" w:ascii="方正仿宋简体" w:hAnsi="方正仿宋简体" w:eastAsia="方正仿宋简体" w:cs="方正仿宋简体"/>
                <w:color w:val="000000"/>
                <w:kern w:val="0"/>
                <w:sz w:val="24"/>
                <w:lang w:val="en-US" w:eastAsia="zh-CN"/>
              </w:rPr>
              <w:t>1</w:t>
            </w:r>
            <w:r>
              <w:rPr>
                <w:rFonts w:hint="eastAsia" w:ascii="方正仿宋简体" w:hAnsi="方正仿宋简体" w:eastAsia="方正仿宋简体" w:cs="方正仿宋简体"/>
                <w:color w:val="000000"/>
                <w:kern w:val="0"/>
                <w:sz w:val="24"/>
              </w:rPr>
              <w:t>次</w:t>
            </w:r>
            <w:r>
              <w:rPr>
                <w:rFonts w:hint="eastAsia" w:ascii="方正仿宋简体" w:hAnsi="方正仿宋简体" w:eastAsia="方正仿宋简体" w:cs="方正仿宋简体"/>
                <w:color w:val="000000"/>
                <w:kern w:val="0"/>
                <w:sz w:val="24"/>
                <w:lang w:val="en-US" w:eastAsia="zh-CN"/>
              </w:rPr>
              <w:t>/季</w:t>
            </w: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肠道致病菌（沙门+志贺)</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氨氮</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lang w:eastAsia="zh-CN"/>
              </w:rPr>
            </w:pPr>
            <w:r>
              <w:rPr>
                <w:rFonts w:hint="eastAsia" w:ascii="方正仿宋简体" w:hAnsi="方正仿宋简体" w:eastAsia="方正仿宋简体" w:cs="方正仿宋简体"/>
                <w:color w:val="auto"/>
                <w:kern w:val="0"/>
                <w:sz w:val="24"/>
              </w:rPr>
              <w:t>总磷</w:t>
            </w:r>
            <w:r>
              <w:rPr>
                <w:rFonts w:hint="eastAsia" w:ascii="方正仿宋简体" w:hAnsi="方正仿宋简体" w:eastAsia="方正仿宋简体" w:cs="方正仿宋简体"/>
                <w:color w:val="auto"/>
                <w:kern w:val="0"/>
                <w:sz w:val="24"/>
                <w:lang w:eastAsia="zh-CN"/>
              </w:rPr>
              <w:t>（以</w:t>
            </w:r>
            <w:r>
              <w:rPr>
                <w:rFonts w:hint="eastAsia" w:ascii="方正仿宋简体" w:hAnsi="方正仿宋简体" w:eastAsia="方正仿宋简体" w:cs="方正仿宋简体"/>
                <w:color w:val="auto"/>
                <w:kern w:val="0"/>
                <w:sz w:val="24"/>
                <w:lang w:val="en-US" w:eastAsia="zh-CN"/>
              </w:rPr>
              <w:t>P计</w:t>
            </w:r>
            <w:r>
              <w:rPr>
                <w:rFonts w:hint="eastAsia" w:ascii="方正仿宋简体" w:hAnsi="方正仿宋简体" w:eastAsia="方正仿宋简体" w:cs="方正仿宋简体"/>
                <w:color w:val="auto"/>
                <w:kern w:val="0"/>
                <w:sz w:val="24"/>
                <w:lang w:eastAsia="zh-CN"/>
              </w:rPr>
              <w:t>）</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石油类</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动植物油</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挥发酚</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总氰化物</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色度</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五日生化需氧量</w:t>
            </w:r>
          </w:p>
        </w:tc>
        <w:tc>
          <w:tcPr>
            <w:tcW w:w="3491"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lang w:eastAsia="zh-CN"/>
              </w:rPr>
              <w:t>阴</w:t>
            </w:r>
            <w:r>
              <w:rPr>
                <w:rFonts w:hint="eastAsia" w:ascii="方正仿宋简体" w:hAnsi="方正仿宋简体" w:eastAsia="方正仿宋简体" w:cs="方正仿宋简体"/>
                <w:color w:val="auto"/>
                <w:kern w:val="0"/>
                <w:sz w:val="24"/>
              </w:rPr>
              <w:t>离子表面活性剂</w:t>
            </w:r>
          </w:p>
        </w:tc>
        <w:tc>
          <w:tcPr>
            <w:tcW w:w="349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p>
        </w:tc>
        <w:tc>
          <w:tcPr>
            <w:tcW w:w="1587"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悬浮物</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lang w:val="en-US"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eastAsia="zh-CN"/>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w:t>
            </w:r>
            <w:r>
              <w:rPr>
                <w:rFonts w:hint="eastAsia" w:ascii="方正仿宋简体" w:hAnsi="方正仿宋简体" w:eastAsia="方正仿宋简体" w:cs="方正仿宋简体"/>
                <w:color w:val="000000"/>
                <w:kern w:val="0"/>
                <w:sz w:val="24"/>
                <w:lang w:eastAsia="zh-CN"/>
              </w:rPr>
              <w:t>周</w:t>
            </w:r>
          </w:p>
        </w:tc>
      </w:tr>
      <w:tr>
        <w:tblPrEx>
          <w:tblCellMar>
            <w:top w:w="0" w:type="dxa"/>
            <w:left w:w="0" w:type="dxa"/>
            <w:bottom w:w="0" w:type="dxa"/>
            <w:right w:w="0" w:type="dxa"/>
          </w:tblCellMar>
        </w:tblPrEx>
        <w:trPr>
          <w:trHeight w:val="256" w:hRule="atLeast"/>
          <w:jc w:val="center"/>
        </w:trPr>
        <w:tc>
          <w:tcPr>
            <w:tcW w:w="1368" w:type="dxa"/>
            <w:vMerge w:val="continue"/>
            <w:tcBorders>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化学需氧量</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val="en-US" w:eastAsia="zh-CN"/>
              </w:rPr>
              <w:t>1次/周</w:t>
            </w:r>
            <w:r>
              <w:rPr>
                <w:rFonts w:hint="eastAsia" w:ascii="方正仿宋简体" w:hAnsi="方正仿宋简体" w:eastAsia="方正仿宋简体" w:cs="方正仿宋简体"/>
                <w:color w:val="000000"/>
                <w:kern w:val="0"/>
                <w:sz w:val="24"/>
              </w:rPr>
              <w:t>（在线）</w:t>
            </w:r>
          </w:p>
        </w:tc>
      </w:tr>
      <w:tr>
        <w:tblPrEx>
          <w:tblCellMar>
            <w:top w:w="0" w:type="dxa"/>
            <w:left w:w="0" w:type="dxa"/>
            <w:bottom w:w="0" w:type="dxa"/>
            <w:right w:w="0" w:type="dxa"/>
          </w:tblCellMar>
        </w:tblPrEx>
        <w:trPr>
          <w:trHeight w:val="493" w:hRule="atLeast"/>
          <w:jc w:val="center"/>
        </w:trPr>
        <w:tc>
          <w:tcPr>
            <w:tcW w:w="1368"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kern w:val="0"/>
                <w:sz w:val="24"/>
                <w:lang w:eastAsia="zh-CN"/>
              </w:rPr>
            </w:pPr>
            <w:r>
              <w:rPr>
                <w:rFonts w:hint="eastAsia" w:ascii="方正仿宋简体" w:hAnsi="方正仿宋简体" w:eastAsia="方正仿宋简体" w:cs="方正仿宋简体"/>
                <w:color w:val="auto"/>
                <w:kern w:val="0"/>
                <w:sz w:val="24"/>
                <w:lang w:eastAsia="zh-CN"/>
              </w:rPr>
              <w:t>流量</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瞬时采样，至少</w:t>
            </w:r>
            <w:r>
              <w:rPr>
                <w:rFonts w:hint="eastAsia" w:ascii="方正仿宋简体" w:hAnsi="方正仿宋简体" w:eastAsia="方正仿宋简体" w:cs="方正仿宋简体"/>
                <w:color w:val="000000"/>
                <w:kern w:val="0"/>
                <w:sz w:val="24"/>
                <w:lang w:val="en-US" w:eastAsia="zh-CN"/>
              </w:rPr>
              <w:t>4个瞬时样</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val="en-US" w:eastAsia="zh-CN"/>
              </w:rPr>
              <w:t>1次/6小时（在线）</w:t>
            </w:r>
          </w:p>
        </w:tc>
      </w:tr>
      <w:tr>
        <w:tblPrEx>
          <w:tblCellMar>
            <w:top w:w="0" w:type="dxa"/>
            <w:left w:w="0" w:type="dxa"/>
            <w:bottom w:w="0" w:type="dxa"/>
            <w:right w:w="0" w:type="dxa"/>
          </w:tblCellMar>
        </w:tblPrEx>
        <w:trPr>
          <w:trHeight w:val="256" w:hRule="atLeast"/>
          <w:jc w:val="center"/>
        </w:trPr>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u w:val="none"/>
                <w:lang w:val="en-US" w:eastAsia="zh-CN"/>
              </w:rPr>
              <w:t>污水站</w:t>
            </w:r>
            <w:r>
              <w:rPr>
                <w:rFonts w:hint="eastAsia" w:ascii="方正黑体简体" w:hAnsi="方正黑体简体" w:eastAsia="方正黑体简体" w:cs="方正黑体简体"/>
                <w:b w:val="0"/>
                <w:bCs/>
                <w:color w:val="000000"/>
                <w:kern w:val="0"/>
                <w:sz w:val="24"/>
                <w:u w:val="none"/>
              </w:rPr>
              <w:t>废气（</w:t>
            </w:r>
            <w:r>
              <w:rPr>
                <w:rFonts w:hint="eastAsia" w:ascii="方正黑体简体" w:hAnsi="方正黑体简体" w:eastAsia="方正黑体简体" w:cs="方正黑体简体"/>
                <w:b w:val="0"/>
                <w:bCs/>
                <w:color w:val="000000"/>
                <w:kern w:val="0"/>
                <w:sz w:val="24"/>
                <w:u w:val="none"/>
                <w:lang w:val="en-US" w:eastAsia="zh-CN"/>
              </w:rPr>
              <w:t>有</w:t>
            </w:r>
            <w:r>
              <w:rPr>
                <w:rFonts w:hint="eastAsia" w:ascii="方正黑体简体" w:hAnsi="方正黑体简体" w:eastAsia="方正黑体简体" w:cs="方正黑体简体"/>
                <w:b w:val="0"/>
                <w:bCs/>
                <w:color w:val="000000"/>
                <w:kern w:val="0"/>
                <w:sz w:val="24"/>
                <w:u w:val="none"/>
              </w:rPr>
              <w:t>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臭气浓度</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val="en-US" w:eastAsia="zh-CN"/>
              </w:rPr>
            </w:pPr>
            <w:r>
              <w:rPr>
                <w:rFonts w:hint="eastAsia" w:ascii="方正仿宋简体" w:hAnsi="方正仿宋简体" w:eastAsia="方正仿宋简体" w:cs="方正仿宋简体"/>
                <w:color w:val="000000"/>
                <w:kern w:val="0"/>
                <w:sz w:val="24"/>
                <w:lang w:val="en-US" w:eastAsia="zh-CN"/>
              </w:rPr>
              <w:t>1次/季</w:t>
            </w:r>
          </w:p>
        </w:tc>
      </w:tr>
      <w:tr>
        <w:tblPrEx>
          <w:tblCellMar>
            <w:top w:w="0" w:type="dxa"/>
            <w:left w:w="0" w:type="dxa"/>
            <w:bottom w:w="0" w:type="dxa"/>
            <w:right w:w="0" w:type="dxa"/>
          </w:tblCellMar>
        </w:tblPrEx>
        <w:trPr>
          <w:trHeight w:val="256"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lang w:eastAsia="zh-CN"/>
              </w:rPr>
            </w:pPr>
            <w:r>
              <w:rPr>
                <w:rFonts w:hint="eastAsia" w:ascii="方正仿宋简体" w:hAnsi="方正仿宋简体" w:eastAsia="方正仿宋简体" w:cs="方正仿宋简体"/>
                <w:color w:val="000000"/>
                <w:kern w:val="0"/>
                <w:sz w:val="24"/>
              </w:rPr>
              <w:t>氨</w:t>
            </w:r>
            <w:r>
              <w:rPr>
                <w:rFonts w:hint="eastAsia" w:ascii="方正仿宋简体" w:hAnsi="方正仿宋简体" w:eastAsia="方正仿宋简体" w:cs="方正仿宋简体"/>
                <w:color w:val="000000"/>
                <w:kern w:val="0"/>
                <w:sz w:val="24"/>
                <w:lang w:eastAsia="zh-CN"/>
              </w:rPr>
              <w:t>（氨气）</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硫化氢</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000000"/>
                <w:sz w:val="24"/>
              </w:rPr>
            </w:pPr>
            <w:r>
              <w:rPr>
                <w:rFonts w:hint="eastAsia" w:ascii="方正黑体简体" w:hAnsi="方正黑体简体" w:eastAsia="方正黑体简体" w:cs="方正黑体简体"/>
                <w:b w:val="0"/>
                <w:bCs/>
                <w:color w:val="000000"/>
                <w:kern w:val="0"/>
                <w:sz w:val="24"/>
                <w:lang w:val="en-US" w:eastAsia="zh-CN"/>
              </w:rPr>
              <w:t>锅炉</w:t>
            </w:r>
            <w:r>
              <w:rPr>
                <w:rFonts w:hint="eastAsia" w:ascii="方正黑体简体" w:hAnsi="方正黑体简体" w:eastAsia="方正黑体简体" w:cs="方正黑体简体"/>
                <w:b w:val="0"/>
                <w:bCs/>
                <w:color w:val="000000"/>
                <w:kern w:val="0"/>
                <w:sz w:val="24"/>
              </w:rPr>
              <w:t>废气（有组织）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eastAsia="zh-CN"/>
              </w:rPr>
              <w:t>格林曼</w:t>
            </w:r>
            <w:r>
              <w:rPr>
                <w:rFonts w:hint="eastAsia" w:ascii="方正仿宋简体" w:hAnsi="方正仿宋简体" w:eastAsia="方正仿宋简体" w:cs="方正仿宋简体"/>
                <w:color w:val="000000"/>
                <w:kern w:val="0"/>
                <w:sz w:val="24"/>
              </w:rPr>
              <w:t>黑度</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年</w:t>
            </w:r>
          </w:p>
        </w:tc>
      </w:tr>
      <w:tr>
        <w:tblPrEx>
          <w:tblCellMar>
            <w:top w:w="0" w:type="dxa"/>
            <w:left w:w="0" w:type="dxa"/>
            <w:bottom w:w="0" w:type="dxa"/>
            <w:right w:w="0" w:type="dxa"/>
          </w:tblCellMar>
        </w:tblPrEx>
        <w:trPr>
          <w:trHeight w:val="256"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二氧化硫</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颗粒物</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仿宋简体" w:hAnsi="方正仿宋简体" w:eastAsia="方正仿宋简体" w:cs="方正仿宋简体"/>
                <w:color w:val="000000"/>
                <w:sz w:val="24"/>
              </w:rPr>
            </w:pPr>
          </w:p>
        </w:tc>
      </w:tr>
      <w:tr>
        <w:tblPrEx>
          <w:tblCellMar>
            <w:top w:w="0" w:type="dxa"/>
            <w:left w:w="0" w:type="dxa"/>
            <w:bottom w:w="0" w:type="dxa"/>
            <w:right w:w="0" w:type="dxa"/>
          </w:tblCellMar>
        </w:tblPrEx>
        <w:trPr>
          <w:trHeight w:val="256"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rPr>
              <w:t>氮氧化物</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仿宋简体" w:hAnsi="方正仿宋简体" w:eastAsia="方正仿宋简体" w:cs="方正仿宋简体"/>
                <w:color w:val="000000"/>
                <w:kern w:val="0"/>
                <w:sz w:val="24"/>
                <w:lang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sz w:val="24"/>
              </w:rPr>
            </w:pPr>
            <w:r>
              <w:rPr>
                <w:rFonts w:hint="eastAsia" w:ascii="方正仿宋简体" w:hAnsi="方正仿宋简体" w:eastAsia="方正仿宋简体" w:cs="方正仿宋简体"/>
                <w:color w:val="000000"/>
                <w:kern w:val="0"/>
                <w:sz w:val="24"/>
                <w:lang w:val="en-US" w:eastAsia="zh-CN"/>
              </w:rPr>
              <w:t>1次/</w:t>
            </w:r>
            <w:r>
              <w:rPr>
                <w:rFonts w:hint="eastAsia" w:ascii="方正仿宋简体" w:hAnsi="方正仿宋简体" w:eastAsia="方正仿宋简体" w:cs="方正仿宋简体"/>
                <w:color w:val="000000"/>
                <w:kern w:val="0"/>
                <w:sz w:val="24"/>
              </w:rPr>
              <w:t>月</w:t>
            </w:r>
          </w:p>
        </w:tc>
      </w:tr>
      <w:tr>
        <w:tblPrEx>
          <w:tblCellMar>
            <w:top w:w="0" w:type="dxa"/>
            <w:left w:w="0" w:type="dxa"/>
            <w:bottom w:w="0" w:type="dxa"/>
            <w:right w:w="0" w:type="dxa"/>
          </w:tblCellMar>
        </w:tblPrEx>
        <w:trPr>
          <w:trHeight w:val="493" w:hRule="atLeast"/>
          <w:jc w:val="center"/>
        </w:trPr>
        <w:tc>
          <w:tcPr>
            <w:tcW w:w="136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方正黑体简体" w:hAnsi="方正黑体简体" w:eastAsia="方正黑体简体" w:cs="方正黑体简体"/>
                <w:b w:val="0"/>
                <w:bCs/>
                <w:color w:val="000000"/>
                <w:sz w:val="24"/>
                <w:lang w:val="en-US" w:eastAsia="zh-CN"/>
              </w:rPr>
            </w:pPr>
            <w:r>
              <w:rPr>
                <w:rFonts w:hint="eastAsia" w:ascii="方正黑体简体" w:hAnsi="方正黑体简体" w:eastAsia="方正黑体简体" w:cs="方正黑体简体"/>
                <w:b w:val="0"/>
                <w:bCs/>
                <w:color w:val="000000"/>
                <w:sz w:val="24"/>
                <w:lang w:val="en-US" w:eastAsia="zh-CN"/>
              </w:rPr>
              <w:t>煎药房废气*2（有组织）</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val="en-US" w:eastAsia="zh-CN"/>
              </w:rPr>
              <w:t>臭气浓度</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eastAsia="zh-CN"/>
              </w:rPr>
              <w:t>非连续采样，至少</w:t>
            </w:r>
            <w:r>
              <w:rPr>
                <w:rFonts w:hint="eastAsia" w:ascii="方正仿宋简体" w:hAnsi="方正仿宋简体" w:eastAsia="方正仿宋简体" w:cs="方正仿宋简体"/>
                <w:color w:val="000000"/>
                <w:kern w:val="0"/>
                <w:sz w:val="24"/>
                <w:lang w:val="en-US" w:eastAsia="zh-CN"/>
              </w:rPr>
              <w:t>3个</w:t>
            </w:r>
          </w:p>
        </w:tc>
        <w:tc>
          <w:tcPr>
            <w:tcW w:w="15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000000"/>
                <w:kern w:val="0"/>
                <w:sz w:val="24"/>
                <w:lang w:val="en-US" w:eastAsia="zh-CN"/>
              </w:rPr>
            </w:pPr>
            <w:r>
              <w:rPr>
                <w:rFonts w:hint="eastAsia" w:ascii="方正仿宋简体" w:hAnsi="方正仿宋简体" w:eastAsia="方正仿宋简体" w:cs="方正仿宋简体"/>
                <w:color w:val="000000"/>
                <w:kern w:val="0"/>
                <w:sz w:val="24"/>
                <w:lang w:val="en-US" w:eastAsia="zh-CN"/>
              </w:rPr>
              <w:t>1次/年</w:t>
            </w:r>
          </w:p>
        </w:tc>
      </w:tr>
      <w:tr>
        <w:tblPrEx>
          <w:tblCellMar>
            <w:top w:w="0" w:type="dxa"/>
            <w:left w:w="0" w:type="dxa"/>
            <w:bottom w:w="0" w:type="dxa"/>
            <w:right w:w="0" w:type="dxa"/>
          </w:tblCellMar>
        </w:tblPrEx>
        <w:trPr>
          <w:trHeight w:val="256" w:hRule="atLeast"/>
          <w:jc w:val="center"/>
        </w:trPr>
        <w:tc>
          <w:tcPr>
            <w:tcW w:w="136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黑体简体" w:hAnsi="方正黑体简体" w:eastAsia="方正黑体简体" w:cs="方正黑体简体"/>
                <w:b w:val="0"/>
                <w:bCs/>
                <w:color w:val="auto"/>
                <w:sz w:val="24"/>
              </w:rPr>
            </w:pPr>
            <w:r>
              <w:rPr>
                <w:rFonts w:hint="eastAsia" w:ascii="方正黑体简体" w:hAnsi="方正黑体简体" w:eastAsia="方正黑体简体" w:cs="方正黑体简体"/>
                <w:b w:val="0"/>
                <w:bCs/>
                <w:color w:val="auto"/>
                <w:kern w:val="0"/>
                <w:sz w:val="24"/>
              </w:rPr>
              <w:t>噪声</w:t>
            </w: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rPr>
            </w:pPr>
            <w:r>
              <w:rPr>
                <w:rFonts w:hint="eastAsia" w:ascii="方正仿宋简体" w:hAnsi="方正仿宋简体" w:eastAsia="方正仿宋简体" w:cs="方正仿宋简体"/>
                <w:color w:val="auto"/>
                <w:kern w:val="0"/>
                <w:sz w:val="24"/>
              </w:rPr>
              <w:t>昼间</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kern w:val="0"/>
                <w:sz w:val="24"/>
              </w:rPr>
            </w:pPr>
          </w:p>
        </w:tc>
        <w:tc>
          <w:tcPr>
            <w:tcW w:w="158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方正仿宋简体" w:hAnsi="方正仿宋简体" w:eastAsia="方正仿宋简体" w:cs="方正仿宋简体"/>
                <w:color w:val="auto"/>
                <w:sz w:val="24"/>
                <w:lang w:val="en-US" w:eastAsia="zh-CN"/>
              </w:rPr>
            </w:pPr>
            <w:r>
              <w:rPr>
                <w:rFonts w:hint="eastAsia" w:ascii="方正仿宋简体" w:hAnsi="方正仿宋简体" w:eastAsia="方正仿宋简体" w:cs="方正仿宋简体"/>
                <w:color w:val="auto"/>
                <w:kern w:val="0"/>
                <w:sz w:val="24"/>
                <w:lang w:val="en-US" w:eastAsia="zh-CN"/>
              </w:rPr>
              <w:t>1次/季</w:t>
            </w:r>
          </w:p>
        </w:tc>
      </w:tr>
      <w:tr>
        <w:tblPrEx>
          <w:tblCellMar>
            <w:top w:w="0" w:type="dxa"/>
            <w:left w:w="0" w:type="dxa"/>
            <w:bottom w:w="0" w:type="dxa"/>
            <w:right w:w="0" w:type="dxa"/>
          </w:tblCellMar>
        </w:tblPrEx>
        <w:trPr>
          <w:trHeight w:val="263" w:hRule="atLeast"/>
          <w:jc w:val="center"/>
        </w:trPr>
        <w:tc>
          <w:tcPr>
            <w:tcW w:w="136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b/>
                <w:color w:val="auto"/>
                <w:sz w:val="24"/>
              </w:rPr>
            </w:pPr>
          </w:p>
        </w:tc>
        <w:tc>
          <w:tcPr>
            <w:tcW w:w="28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cs="宋体"/>
                <w:color w:val="auto"/>
                <w:sz w:val="24"/>
              </w:rPr>
            </w:pPr>
            <w:r>
              <w:rPr>
                <w:rFonts w:hint="eastAsia" w:ascii="方正仿宋简体" w:hAnsi="方正仿宋简体" w:eastAsia="方正仿宋简体" w:cs="方正仿宋简体"/>
                <w:color w:val="auto"/>
                <w:kern w:val="0"/>
                <w:sz w:val="24"/>
              </w:rPr>
              <w:t>夜间</w:t>
            </w:r>
          </w:p>
        </w:tc>
        <w:tc>
          <w:tcPr>
            <w:tcW w:w="34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color w:val="auto"/>
                <w:sz w:val="24"/>
              </w:rPr>
            </w:pPr>
          </w:p>
        </w:tc>
        <w:tc>
          <w:tcPr>
            <w:tcW w:w="158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ascii="宋体" w:hAnsi="宋体" w:cs="宋体"/>
                <w:color w:val="auto"/>
                <w:sz w:val="24"/>
              </w:rPr>
            </w:pPr>
          </w:p>
        </w:tc>
      </w:tr>
      <w:tr>
        <w:tblPrEx>
          <w:tblCellMar>
            <w:top w:w="0" w:type="dxa"/>
            <w:left w:w="0" w:type="dxa"/>
            <w:bottom w:w="0" w:type="dxa"/>
            <w:right w:w="0" w:type="dxa"/>
          </w:tblCellMar>
        </w:tblPrEx>
        <w:trPr>
          <w:trHeight w:val="263" w:hRule="atLeast"/>
          <w:jc w:val="center"/>
        </w:trPr>
        <w:tc>
          <w:tcPr>
            <w:tcW w:w="9257"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宋体" w:hAnsi="宋体" w:eastAsia="宋体" w:cs="宋体"/>
                <w:color w:val="auto"/>
                <w:sz w:val="24"/>
                <w:lang w:val="en-US" w:eastAsia="zh-CN"/>
              </w:rPr>
            </w:pPr>
            <w:r>
              <w:rPr>
                <w:rFonts w:hint="eastAsia" w:ascii="方正仿宋简体" w:hAnsi="方正仿宋简体" w:eastAsia="方正仿宋简体" w:cs="方正仿宋简体"/>
                <w:color w:val="auto"/>
                <w:kern w:val="0"/>
                <w:sz w:val="24"/>
                <w:lang w:val="en-US" w:eastAsia="zh-CN"/>
              </w:rPr>
              <w:t>备注：以总价进行报价，含税价。</w:t>
            </w:r>
          </w:p>
        </w:tc>
      </w:tr>
    </w:tbl>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exact"/>
        <w:textAlignment w:val="auto"/>
        <w:outlineLvl w:val="9"/>
        <w:rPr>
          <w:rFonts w:hint="eastAsia"/>
          <w:lang w:val="en-US" w:eastAsia="zh-CN"/>
        </w:rPr>
      </w:pPr>
    </w:p>
    <w:p>
      <w:bookmarkStart w:id="0" w:name="_GoBack"/>
      <w:bookmarkEnd w:id="0"/>
    </w:p>
    <w:sectPr>
      <w:pgSz w:w="11905" w:h="16838"/>
      <w:pgMar w:top="1440" w:right="1803" w:bottom="1440" w:left="1803" w:header="851" w:footer="992" w:gutter="0"/>
      <w:pgBorders w:offsetFrom="page">
        <w:top w:val="none" w:sz="0" w:space="0"/>
        <w:left w:val="none" w:sz="0" w:space="0"/>
        <w:bottom w:val="none" w:sz="0" w:space="0"/>
        <w:right w:val="none" w:sz="0" w:space="0"/>
      </w:pgBorders>
      <w:pgNumType w:fmt="decimal"/>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2016B"/>
    <w:rsid w:val="22A20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Subtitle"/>
    <w:basedOn w:val="1"/>
    <w:next w:val="1"/>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6">
    <w:name w:val="Balloon Text"/>
    <w:basedOn w:val="1"/>
    <w:semiHidden/>
    <w:qFormat/>
    <w:uiPriority w:val="99"/>
    <w:rPr>
      <w:rFonts w:cs="Times New Roman"/>
      <w:kern w:val="0"/>
      <w:sz w:val="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2022-11-22T03:57:00Z</dcterms:created>
  <dc:creator>阿白</dc:creator>
  <cp:lastModifiedBy>阿白</cp:lastModifiedBy>
  <dcterms:modified xsi:type="dcterms:W3CDTF">2022-11-22T03:57:54Z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