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4"/>
        <w:keepNext w:val="0"/>
        <w:keepLines w:val="0"/>
        <w:spacing w:before="0" w:after="0" w:line="360" w:lineRule="auto"/>
        <w:jc w:val="both"/>
        <w:rPr>
          <w:rFonts w:hint="eastAsia" w:ascii="方正黑体简体" w:hAnsi="方正黑体简体" w:eastAsia="方正黑体简体" w:cs="方正黑体简体"/>
          <w:b w:val="0"/>
          <w:bCs w:val="0"/>
          <w:sz w:val="32"/>
          <w:szCs w:val="32"/>
          <w:lang w:val="en-US" w:eastAsia="zh-CN"/>
        </w:rPr>
      </w:pPr>
      <w:bookmarkStart w:id="0" w:name="_GoBack"/>
      <w:bookmarkEnd w:id="0"/>
      <w:r>
        <w:rPr>
          <w:rFonts w:hint="eastAsia" w:ascii="方正黑体简体" w:hAnsi="方正黑体简体" w:eastAsia="方正黑体简体" w:cs="方正黑体简体"/>
          <w:b w:val="0"/>
          <w:bCs w:val="0"/>
          <w:sz w:val="32"/>
          <w:szCs w:val="32"/>
          <w:lang w:val="en-US" w:eastAsia="zh-CN"/>
        </w:rPr>
        <w:t>附件：</w:t>
      </w:r>
    </w:p>
    <w:p>
      <w:pPr>
        <w:pStyle w:val="4"/>
        <w:keepNext w:val="0"/>
        <w:keepLines w:val="0"/>
        <w:spacing w:before="0" w:after="0" w:line="360" w:lineRule="auto"/>
        <w:jc w:val="center"/>
        <w:rPr>
          <w:rFonts w:hint="eastAsia" w:ascii="方正黑体简体" w:hAnsi="方正黑体简体" w:eastAsia="方正黑体简体" w:cs="方正黑体简体"/>
          <w:b w:val="0"/>
          <w:bCs w:val="0"/>
          <w:color w:val="auto"/>
          <w:sz w:val="32"/>
          <w:szCs w:val="32"/>
          <w:highlight w:val="none"/>
          <w:lang w:val="en-US" w:eastAsia="zh-CN"/>
        </w:rPr>
      </w:pPr>
      <w:r>
        <w:rPr>
          <w:rFonts w:hint="eastAsia" w:ascii="方正黑体简体" w:hAnsi="方正黑体简体" w:eastAsia="方正黑体简体" w:cs="方正黑体简体"/>
          <w:b w:val="0"/>
          <w:bCs w:val="0"/>
          <w:color w:val="auto"/>
          <w:kern w:val="2"/>
          <w:sz w:val="32"/>
          <w:szCs w:val="32"/>
          <w:highlight w:val="none"/>
          <w:lang w:val="en-US" w:eastAsia="zh-CN"/>
        </w:rPr>
        <w:t>服务要求</w:t>
      </w:r>
    </w:p>
    <w:p>
      <w:pPr>
        <w:keepNext w:val="0"/>
        <w:keepLines w:val="0"/>
        <w:pageBreakBefore w:val="0"/>
        <w:widowControl w:val="0"/>
        <w:kinsoku/>
        <w:wordWrap/>
        <w:overflowPunct/>
        <w:topLinePunct w:val="0"/>
        <w:bidi w:val="0"/>
        <w:snapToGrid/>
        <w:spacing w:line="560" w:lineRule="exact"/>
        <w:ind w:left="480" w:hanging="480"/>
        <w:jc w:val="left"/>
        <w:textAlignment w:val="auto"/>
        <w:rPr>
          <w:rFonts w:hint="eastAsia" w:ascii="方正黑体简体" w:hAnsi="方正黑体简体" w:eastAsia="方正黑体简体" w:cs="方正黑体简体"/>
          <w:kern w:val="0"/>
          <w:sz w:val="32"/>
          <w:szCs w:val="32"/>
        </w:rPr>
      </w:pPr>
      <w:r>
        <w:rPr>
          <w:rFonts w:hint="eastAsia" w:ascii="方正黑体简体" w:hAnsi="方正黑体简体" w:eastAsia="方正黑体简体" w:cs="方正黑体简体"/>
          <w:kern w:val="0"/>
          <w:sz w:val="32"/>
          <w:szCs w:val="32"/>
          <w:lang w:val="en-US" w:eastAsia="zh-CN"/>
        </w:rPr>
        <w:t>一、</w:t>
      </w:r>
      <w:r>
        <w:rPr>
          <w:rFonts w:hint="eastAsia" w:ascii="方正黑体简体" w:hAnsi="方正黑体简体" w:eastAsia="方正黑体简体" w:cs="方正黑体简体"/>
          <w:kern w:val="0"/>
          <w:sz w:val="32"/>
          <w:szCs w:val="32"/>
        </w:rPr>
        <w:t>服务内容</w:t>
      </w:r>
    </w:p>
    <w:p>
      <w:pPr>
        <w:keepNext w:val="0"/>
        <w:keepLines w:val="0"/>
        <w:pageBreakBefore w:val="0"/>
        <w:widowControl w:val="0"/>
        <w:kinsoku/>
        <w:wordWrap/>
        <w:overflowPunct/>
        <w:topLinePunct w:val="0"/>
        <w:bidi w:val="0"/>
        <w:adjustRightInd w:val="0"/>
        <w:snapToGrid/>
        <w:spacing w:line="560" w:lineRule="exact"/>
        <w:ind w:left="0" w:leftChars="0"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依据国家等级保护相关政策、标准以及其它相关要求，并结合我单位信息系统具体情况，对各信息系统进行等级保护测评，内容包括：</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425" w:leftChars="0" w:hanging="425" w:firstLineChars="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协助成都市青白江区</w:t>
      </w:r>
      <w:r>
        <w:rPr>
          <w:rFonts w:hint="eastAsia" w:ascii="方正仿宋简体" w:hAnsi="方正仿宋简体" w:eastAsia="方正仿宋简体" w:cs="方正仿宋简体"/>
          <w:sz w:val="32"/>
          <w:szCs w:val="32"/>
          <w:lang w:eastAsia="zh-CN"/>
        </w:rPr>
        <w:t>中医</w:t>
      </w:r>
      <w:r>
        <w:rPr>
          <w:rFonts w:hint="eastAsia" w:ascii="方正仿宋简体" w:hAnsi="方正仿宋简体" w:eastAsia="方正仿宋简体" w:cs="方正仿宋简体"/>
          <w:sz w:val="32"/>
          <w:szCs w:val="32"/>
        </w:rPr>
        <w:t>医院需要进行测评的信息系统进行定级、备案材料的编写，协助采购方到公安监管等部门办理备案手续，确保信息系统安全保护等级定级准确、备案完整。</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425" w:leftChars="0" w:hanging="425" w:firstLineChars="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按照《信息安全技术网络安全等级保护基本要求》对系统从技术、安全管理等方面进行安全等级测评工作。</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425" w:leftChars="0" w:hanging="425" w:firstLineChars="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形成问题汇总及整改意见报告。根据测评结果，对等级测评结果进行汇总统计，并编制系统等级保护测评问题汇总及整改意见报告，列出被测系统中存在的主要问题和整改意见。</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425" w:leftChars="0" w:hanging="425" w:firstLineChars="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协助完成整改工作。依据整改方案，为安全整改的各项工作提供技术咨询与支撑服务。</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425" w:leftChars="0" w:hanging="425" w:firstLineChars="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编制并提交等级保护测评报告，报告需提交公安机关有关部门备案，且能满足合规性要求。</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425" w:leftChars="0" w:hanging="425" w:firstLineChars="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自</w:t>
      </w:r>
      <w:r>
        <w:rPr>
          <w:rFonts w:hint="eastAsia" w:ascii="方正仿宋简体" w:hAnsi="方正仿宋简体" w:eastAsia="方正仿宋简体" w:cs="方正仿宋简体"/>
          <w:sz w:val="32"/>
          <w:szCs w:val="32"/>
        </w:rPr>
        <w:t>签订合同后60</w:t>
      </w:r>
      <w:r>
        <w:rPr>
          <w:rFonts w:hint="eastAsia" w:ascii="方正仿宋简体" w:hAnsi="方正仿宋简体" w:eastAsia="方正仿宋简体" w:cs="方正仿宋简体"/>
          <w:sz w:val="32"/>
          <w:szCs w:val="32"/>
          <w:lang w:val="en-US" w:eastAsia="zh-CN"/>
        </w:rPr>
        <w:t>日</w:t>
      </w:r>
      <w:r>
        <w:rPr>
          <w:rFonts w:hint="eastAsia" w:ascii="方正仿宋简体" w:hAnsi="方正仿宋简体" w:eastAsia="方正仿宋简体" w:cs="方正仿宋简体"/>
          <w:sz w:val="32"/>
          <w:szCs w:val="32"/>
        </w:rPr>
        <w:t>内完成</w:t>
      </w:r>
      <w:r>
        <w:rPr>
          <w:rFonts w:hint="eastAsia" w:ascii="方正仿宋简体" w:hAnsi="方正仿宋简体" w:eastAsia="方正仿宋简体" w:cs="方正仿宋简体"/>
          <w:sz w:val="32"/>
          <w:szCs w:val="32"/>
          <w:lang w:eastAsia="zh-CN"/>
        </w:rPr>
        <w:t>。</w:t>
      </w:r>
    </w:p>
    <w:p>
      <w:pPr>
        <w:keepNext w:val="0"/>
        <w:keepLines w:val="0"/>
        <w:pageBreakBefore w:val="0"/>
        <w:widowControl w:val="0"/>
        <w:kinsoku/>
        <w:wordWrap/>
        <w:overflowPunct/>
        <w:topLinePunct w:val="0"/>
        <w:bidi w:val="0"/>
        <w:snapToGrid/>
        <w:spacing w:line="560" w:lineRule="exact"/>
        <w:ind w:left="480" w:hanging="480"/>
        <w:jc w:val="left"/>
        <w:textAlignment w:val="auto"/>
        <w:rPr>
          <w:rFonts w:hint="eastAsia" w:ascii="方正黑体简体" w:hAnsi="方正黑体简体" w:eastAsia="方正黑体简体" w:cs="方正黑体简体"/>
          <w:kern w:val="0"/>
          <w:sz w:val="32"/>
          <w:szCs w:val="32"/>
          <w:lang w:eastAsia="zh-CN"/>
        </w:rPr>
      </w:pPr>
      <w:r>
        <w:rPr>
          <w:rFonts w:hint="eastAsia" w:ascii="方正黑体简体" w:hAnsi="方正黑体简体" w:eastAsia="方正黑体简体" w:cs="方正黑体简体"/>
          <w:kern w:val="0"/>
          <w:sz w:val="32"/>
          <w:szCs w:val="32"/>
          <w:lang w:val="en-US" w:eastAsia="zh-CN"/>
        </w:rPr>
        <w:t>二、</w:t>
      </w:r>
      <w:r>
        <w:rPr>
          <w:rFonts w:hint="eastAsia" w:ascii="方正黑体简体" w:hAnsi="方正黑体简体" w:eastAsia="方正黑体简体" w:cs="方正黑体简体"/>
          <w:kern w:val="0"/>
          <w:sz w:val="32"/>
          <w:szCs w:val="32"/>
        </w:rPr>
        <w:t>等级保护测评</w:t>
      </w:r>
      <w:r>
        <w:rPr>
          <w:rFonts w:hint="eastAsia" w:ascii="方正黑体简体" w:hAnsi="方正黑体简体" w:eastAsia="方正黑体简体" w:cs="方正黑体简体"/>
          <w:kern w:val="0"/>
          <w:sz w:val="32"/>
          <w:szCs w:val="32"/>
          <w:lang w:val="en-US" w:eastAsia="zh-CN"/>
        </w:rPr>
        <w:t>要求</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根据项目需求，为保障信息安全现场测评过程安全可控，明确测评人员职责分配、规范测评人员操作，保障测评结果有效，至少包括以下几个流程：</w:t>
      </w:r>
    </w:p>
    <w:p>
      <w:pPr>
        <w:keepNext w:val="0"/>
        <w:keepLines w:val="0"/>
        <w:pageBreakBefore w:val="0"/>
        <w:widowControl w:val="0"/>
        <w:numPr>
          <w:ilvl w:val="0"/>
          <w:numId w:val="3"/>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确定测评范围:明确本次被测评信息系统的范围，包括每个信息系统的范围、信息系统的边界等。</w:t>
      </w:r>
    </w:p>
    <w:p>
      <w:pPr>
        <w:keepNext w:val="0"/>
        <w:keepLines w:val="0"/>
        <w:pageBreakBefore w:val="0"/>
        <w:widowControl w:val="0"/>
        <w:numPr>
          <w:ilvl w:val="0"/>
          <w:numId w:val="3"/>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获得信息系统的信息:通过调查或查阅资料的方式，了解被测评信息系统的构成，包括网络拓扑、业务应用、业务流程、设备信息、安全措施状况等。</w:t>
      </w:r>
    </w:p>
    <w:p>
      <w:pPr>
        <w:keepNext w:val="0"/>
        <w:keepLines w:val="0"/>
        <w:pageBreakBefore w:val="0"/>
        <w:widowControl w:val="0"/>
        <w:numPr>
          <w:ilvl w:val="0"/>
          <w:numId w:val="3"/>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确定具体的测评对象:初步确定每个信息系统的被测评对象，包括整体对象，如机房、办公环境、网络等，也包括具体对象，如边界设备、网关设备、服务器设备、工作站、应用系统等。</w:t>
      </w:r>
    </w:p>
    <w:p>
      <w:pPr>
        <w:keepNext w:val="0"/>
        <w:keepLines w:val="0"/>
        <w:pageBreakBefore w:val="0"/>
        <w:widowControl w:val="0"/>
        <w:numPr>
          <w:ilvl w:val="0"/>
          <w:numId w:val="3"/>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确定测评工作的方法:根据信息系统安全等级情况、系统规模大小等，明确本次测评的方法。</w:t>
      </w:r>
    </w:p>
    <w:p>
      <w:pPr>
        <w:keepNext w:val="0"/>
        <w:keepLines w:val="0"/>
        <w:pageBreakBefore w:val="0"/>
        <w:widowControl w:val="0"/>
        <w:numPr>
          <w:ilvl w:val="0"/>
          <w:numId w:val="3"/>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制定测评工作计划:制定测评工作计划或方案，说明测评范围、测评对象、工作方法、人员组成、角色职责、时间计划等。</w:t>
      </w:r>
    </w:p>
    <w:p>
      <w:pPr>
        <w:keepNext w:val="0"/>
        <w:keepLines w:val="0"/>
        <w:pageBreakBefore w:val="0"/>
        <w:widowControl w:val="0"/>
        <w:numPr>
          <w:ilvl w:val="0"/>
          <w:numId w:val="3"/>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实施等级保护测评:实施测评，包括人工检查、工具扫描等方式。</w:t>
      </w:r>
    </w:p>
    <w:p>
      <w:pPr>
        <w:keepNext w:val="0"/>
        <w:keepLines w:val="0"/>
        <w:pageBreakBefore w:val="0"/>
        <w:widowControl w:val="0"/>
        <w:numPr>
          <w:ilvl w:val="0"/>
          <w:numId w:val="3"/>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项目总结:对测评结果进行总结、汇报</w:t>
      </w:r>
    </w:p>
    <w:p>
      <w:pPr>
        <w:keepNext w:val="0"/>
        <w:keepLines w:val="0"/>
        <w:pageBreakBefore w:val="0"/>
        <w:widowControl w:val="0"/>
        <w:numPr>
          <w:ilvl w:val="0"/>
          <w:numId w:val="0"/>
        </w:numPr>
        <w:kinsoku/>
        <w:wordWrap/>
        <w:overflowPunct/>
        <w:topLinePunct w:val="0"/>
        <w:bidi w:val="0"/>
        <w:snapToGrid/>
        <w:spacing w:line="560" w:lineRule="exact"/>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三、等级保护测评管理要求</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供应商必须提供完整的项目管理方案，供应商需要针对以下项目管理要求进行项目管理服务要求进行承诺。</w:t>
      </w:r>
    </w:p>
    <w:p>
      <w:pPr>
        <w:keepNext w:val="0"/>
        <w:keepLines w:val="0"/>
        <w:pageBreakBefore w:val="0"/>
        <w:widowControl w:val="0"/>
        <w:numPr>
          <w:ilvl w:val="0"/>
          <w:numId w:val="4"/>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投标供应商及其测评人员应当严格执行有关国家信息安全等级保护相关标准和有关规定，提供客观、公平、公正、有效的等级保护测评服务，并承担相应的法律责任；</w:t>
      </w:r>
    </w:p>
    <w:p>
      <w:pPr>
        <w:keepNext w:val="0"/>
        <w:keepLines w:val="0"/>
        <w:pageBreakBefore w:val="0"/>
        <w:widowControl w:val="0"/>
        <w:numPr>
          <w:ilvl w:val="0"/>
          <w:numId w:val="4"/>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应具备能够保证其公正性、独立性的质量体系，确保测评活动不受任何可能影响测评结果的商业、财务、健康、环境等方面的压力；</w:t>
      </w:r>
    </w:p>
    <w:p>
      <w:pPr>
        <w:keepNext w:val="0"/>
        <w:keepLines w:val="0"/>
        <w:pageBreakBefore w:val="0"/>
        <w:widowControl w:val="0"/>
        <w:numPr>
          <w:ilvl w:val="0"/>
          <w:numId w:val="4"/>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投标供应商在对被测评单位开展等级保护测评服务之前需与被测评单位签订保密协议，测评过程中向被测评单位借阅的文档资料应在测评工作结束后全部归还被测评单位，未经被测评单位允许，不得擅自复制、保留；</w:t>
      </w:r>
    </w:p>
    <w:p>
      <w:pPr>
        <w:keepNext w:val="0"/>
        <w:keepLines w:val="0"/>
        <w:pageBreakBefore w:val="0"/>
        <w:widowControl w:val="0"/>
        <w:numPr>
          <w:ilvl w:val="0"/>
          <w:numId w:val="4"/>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投标供应商的岗位配置要至少配置测评师、项目经理、渗透工程师、质量主管等并明确各个岗位的相关职责。</w:t>
      </w:r>
    </w:p>
    <w:p>
      <w:pPr>
        <w:keepNext w:val="0"/>
        <w:keepLines w:val="0"/>
        <w:pageBreakBefore w:val="0"/>
        <w:widowControl w:val="0"/>
        <w:numPr>
          <w:ilvl w:val="0"/>
          <w:numId w:val="4"/>
        </w:numPr>
        <w:kinsoku/>
        <w:wordWrap/>
        <w:overflowPunct/>
        <w:topLinePunct w:val="0"/>
        <w:bidi w:val="0"/>
        <w:snapToGrid/>
        <w:spacing w:line="560" w:lineRule="exact"/>
        <w:ind w:left="425" w:leftChars="0" w:hanging="425" w:firstLineChars="0"/>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测评工具要求</w:t>
      </w:r>
      <w:r>
        <w:rPr>
          <w:rFonts w:hint="eastAsia" w:ascii="方正仿宋简体" w:hAnsi="方正仿宋简体" w:eastAsia="方正仿宋简体" w:cs="方正仿宋简体"/>
          <w:sz w:val="32"/>
          <w:szCs w:val="32"/>
          <w:lang w:bidi="ar"/>
        </w:rPr>
        <w:br w:type="textWrapping"/>
      </w:r>
      <w:r>
        <w:rPr>
          <w:rFonts w:hint="eastAsia" w:ascii="方正仿宋简体" w:hAnsi="方正仿宋简体" w:eastAsia="方正仿宋简体" w:cs="方正仿宋简体"/>
          <w:sz w:val="32"/>
          <w:szCs w:val="32"/>
          <w:lang w:bidi="ar"/>
        </w:rPr>
        <w:t xml:space="preserve">  ① 采用的测评工具必须获得正版授权，并在有效期内，不得使用盗版软件；</w:t>
      </w:r>
      <w:r>
        <w:rPr>
          <w:rFonts w:hint="eastAsia" w:ascii="方正仿宋简体" w:hAnsi="方正仿宋简体" w:eastAsia="方正仿宋简体" w:cs="方正仿宋简体"/>
          <w:sz w:val="32"/>
          <w:szCs w:val="32"/>
          <w:lang w:bidi="ar"/>
        </w:rPr>
        <w:br w:type="textWrapping"/>
      </w:r>
      <w:r>
        <w:rPr>
          <w:rFonts w:hint="eastAsia" w:ascii="方正仿宋简体" w:hAnsi="方正仿宋简体" w:eastAsia="方正仿宋简体" w:cs="方正仿宋简体"/>
          <w:sz w:val="32"/>
          <w:szCs w:val="32"/>
          <w:lang w:bidi="ar"/>
        </w:rPr>
        <w:t xml:space="preserve">  ② 采用的测评工具在功能、性能等满足使用要求前提下，应优先采用具有国内自主知识产权的同类产品；</w:t>
      </w:r>
      <w:r>
        <w:rPr>
          <w:rFonts w:hint="eastAsia" w:ascii="方正仿宋简体" w:hAnsi="方正仿宋简体" w:eastAsia="方正仿宋简体" w:cs="方正仿宋简体"/>
          <w:sz w:val="32"/>
          <w:szCs w:val="32"/>
          <w:lang w:bidi="ar"/>
        </w:rPr>
        <w:br w:type="textWrapping"/>
      </w:r>
      <w:r>
        <w:rPr>
          <w:rFonts w:hint="eastAsia" w:ascii="方正仿宋简体" w:hAnsi="方正仿宋简体" w:eastAsia="方正仿宋简体" w:cs="方正仿宋简体"/>
          <w:sz w:val="32"/>
          <w:szCs w:val="32"/>
          <w:lang w:bidi="ar"/>
        </w:rPr>
        <w:t xml:space="preserve">  ③ 采用的测评工具的生产商应为正规厂商，能够对产品进行持续更新并提供质量和安全保障；</w:t>
      </w:r>
      <w:r>
        <w:rPr>
          <w:rFonts w:hint="eastAsia" w:ascii="方正仿宋简体" w:hAnsi="方正仿宋简体" w:eastAsia="方正仿宋简体" w:cs="方正仿宋简体"/>
          <w:sz w:val="32"/>
          <w:szCs w:val="32"/>
          <w:lang w:bidi="ar"/>
        </w:rPr>
        <w:br w:type="textWrapping"/>
      </w:r>
      <w:r>
        <w:rPr>
          <w:rFonts w:hint="eastAsia" w:ascii="方正仿宋简体" w:hAnsi="方正仿宋简体" w:eastAsia="方正仿宋简体" w:cs="方正仿宋简体"/>
          <w:sz w:val="32"/>
          <w:szCs w:val="32"/>
          <w:lang w:bidi="ar"/>
        </w:rPr>
        <w:t xml:space="preserve">  ④ 测评机构所使用的测评工具不会对单位系统产生破坏或负面影响以及不影响业务正常开展。</w:t>
      </w:r>
    </w:p>
    <w:p>
      <w:pPr>
        <w:keepNext w:val="0"/>
        <w:keepLines w:val="0"/>
        <w:pageBreakBefore w:val="0"/>
        <w:widowControl w:val="0"/>
        <w:numPr>
          <w:ilvl w:val="0"/>
          <w:numId w:val="5"/>
        </w:numPr>
        <w:kinsoku/>
        <w:wordWrap/>
        <w:overflowPunct/>
        <w:topLinePunct w:val="0"/>
        <w:bidi w:val="0"/>
        <w:snapToGrid/>
        <w:spacing w:line="560" w:lineRule="exact"/>
        <w:ind w:left="0" w:leftChars="0" w:firstLine="0" w:firstLineChars="0"/>
        <w:textAlignment w:val="auto"/>
        <w:rPr>
          <w:rFonts w:hint="eastAsia" w:ascii="方正黑体简体" w:hAnsi="方正黑体简体" w:eastAsia="方正黑体简体" w:cs="方正黑体简体"/>
          <w:sz w:val="32"/>
          <w:szCs w:val="32"/>
          <w:lang w:val="en-US" w:eastAsia="zh-CN" w:bidi="ar"/>
        </w:rPr>
      </w:pPr>
      <w:r>
        <w:rPr>
          <w:rFonts w:hint="eastAsia" w:ascii="方正黑体简体" w:hAnsi="方正黑体简体" w:eastAsia="方正黑体简体" w:cs="方正黑体简体"/>
          <w:sz w:val="32"/>
          <w:szCs w:val="32"/>
        </w:rPr>
        <w:t>等级</w:t>
      </w:r>
      <w:r>
        <w:rPr>
          <w:rFonts w:hint="eastAsia" w:ascii="方正黑体简体" w:hAnsi="方正黑体简体" w:eastAsia="方正黑体简体" w:cs="方正黑体简体"/>
          <w:sz w:val="32"/>
          <w:szCs w:val="32"/>
          <w:lang w:val="en-US" w:eastAsia="zh-CN"/>
        </w:rPr>
        <w:t>保护</w:t>
      </w:r>
      <w:r>
        <w:rPr>
          <w:rFonts w:hint="eastAsia" w:ascii="方正黑体简体" w:hAnsi="方正黑体简体" w:eastAsia="方正黑体简体" w:cs="方正黑体简体"/>
          <w:sz w:val="32"/>
          <w:szCs w:val="32"/>
        </w:rPr>
        <w:t>测评</w:t>
      </w:r>
      <w:r>
        <w:rPr>
          <w:rFonts w:hint="eastAsia" w:ascii="方正黑体简体" w:hAnsi="方正黑体简体" w:eastAsia="方正黑体简体" w:cs="方正黑体简体"/>
          <w:sz w:val="32"/>
          <w:szCs w:val="32"/>
          <w:lang w:val="en-US" w:eastAsia="zh-CN" w:bidi="ar"/>
        </w:rPr>
        <w:t>交付物</w:t>
      </w:r>
    </w:p>
    <w:p>
      <w:pPr>
        <w:pStyle w:val="6"/>
        <w:keepNext w:val="0"/>
        <w:keepLines w:val="0"/>
        <w:pageBreakBefore w:val="0"/>
        <w:widowControl w:val="0"/>
        <w:kinsoku/>
        <w:wordWrap/>
        <w:overflowPunct/>
        <w:topLinePunct w:val="0"/>
        <w:bidi w:val="0"/>
        <w:snapToGrid/>
        <w:spacing w:line="560" w:lineRule="exact"/>
        <w:ind w:firstLine="800" w:firstLineChars="250"/>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包括但不仅限于以下资料：</w:t>
      </w:r>
    </w:p>
    <w:tbl>
      <w:tblPr>
        <w:tblStyle w:val="15"/>
        <w:tblW w:w="8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7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951" w:type="dxa"/>
            <w:vAlign w:val="center"/>
          </w:tcPr>
          <w:p>
            <w:pPr>
              <w:keepNext w:val="0"/>
              <w:keepLines w:val="0"/>
              <w:pageBreakBefore w:val="0"/>
              <w:widowControl w:val="0"/>
              <w:kinsoku/>
              <w:wordWrap/>
              <w:overflowPunct/>
              <w:topLinePunct w:val="0"/>
              <w:bidi w:val="0"/>
              <w:snapToGrid/>
              <w:spacing w:line="560" w:lineRule="exact"/>
              <w:jc w:val="center"/>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w:t>
            </w:r>
          </w:p>
        </w:tc>
        <w:tc>
          <w:tcPr>
            <w:tcW w:w="7903" w:type="dxa"/>
            <w:vAlign w:val="center"/>
          </w:tcPr>
          <w:p>
            <w:pPr>
              <w:keepNext w:val="0"/>
              <w:keepLines w:val="0"/>
              <w:pageBreakBefore w:val="0"/>
              <w:widowControl w:val="0"/>
              <w:kinsoku/>
              <w:wordWrap/>
              <w:overflowPunct/>
              <w:topLinePunct w:val="0"/>
              <w:bidi w:val="0"/>
              <w:snapToGrid/>
              <w:spacing w:line="560" w:lineRule="exact"/>
              <w:ind w:firstLine="640" w:firstLineChars="200"/>
              <w:jc w:val="center"/>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信息系统安全等级测评报告（包含整改建议）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951" w:type="dxa"/>
            <w:vAlign w:val="center"/>
          </w:tcPr>
          <w:p>
            <w:pPr>
              <w:keepNext w:val="0"/>
              <w:keepLines w:val="0"/>
              <w:pageBreakBefore w:val="0"/>
              <w:widowControl w:val="0"/>
              <w:kinsoku/>
              <w:wordWrap/>
              <w:overflowPunct/>
              <w:topLinePunct w:val="0"/>
              <w:bidi w:val="0"/>
              <w:snapToGrid/>
              <w:spacing w:line="560" w:lineRule="exact"/>
              <w:jc w:val="center"/>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w:t>
            </w:r>
          </w:p>
        </w:tc>
        <w:tc>
          <w:tcPr>
            <w:tcW w:w="7903" w:type="dxa"/>
            <w:vAlign w:val="center"/>
          </w:tcPr>
          <w:p>
            <w:pPr>
              <w:keepNext w:val="0"/>
              <w:keepLines w:val="0"/>
              <w:pageBreakBefore w:val="0"/>
              <w:widowControl w:val="0"/>
              <w:kinsoku/>
              <w:wordWrap/>
              <w:overflowPunct/>
              <w:topLinePunct w:val="0"/>
              <w:bidi w:val="0"/>
              <w:snapToGrid/>
              <w:spacing w:line="560" w:lineRule="exact"/>
              <w:ind w:firstLine="640" w:firstLineChars="200"/>
              <w:jc w:val="center"/>
              <w:textAlignment w:val="auto"/>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其他未列入的应交资料</w:t>
            </w:r>
          </w:p>
        </w:tc>
      </w:tr>
    </w:tbl>
    <w:p>
      <w:pPr>
        <w:keepNext w:val="0"/>
        <w:keepLines w:val="0"/>
        <w:pageBreakBefore w:val="0"/>
        <w:widowControl w:val="0"/>
        <w:numPr>
          <w:ilvl w:val="0"/>
          <w:numId w:val="5"/>
        </w:numPr>
        <w:kinsoku/>
        <w:wordWrap/>
        <w:overflowPunct/>
        <w:topLinePunct w:val="0"/>
        <w:bidi w:val="0"/>
        <w:snapToGrid/>
        <w:spacing w:line="560" w:lineRule="exact"/>
        <w:ind w:left="0" w:leftChars="0" w:firstLine="0" w:firstLineChars="0"/>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资质要求</w:t>
      </w:r>
    </w:p>
    <w:p>
      <w:pPr>
        <w:keepNext w:val="0"/>
        <w:keepLines w:val="0"/>
        <w:pageBreakBefore w:val="0"/>
        <w:widowControl w:val="0"/>
        <w:numPr>
          <w:ilvl w:val="0"/>
          <w:numId w:val="0"/>
        </w:numPr>
        <w:kinsoku/>
        <w:wordWrap/>
        <w:overflowPunct/>
        <w:topLinePunct w:val="0"/>
        <w:bidi w:val="0"/>
        <w:snapToGrid/>
        <w:spacing w:line="560" w:lineRule="exact"/>
        <w:ind w:leftChars="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必须具备《网络安全等级测评与检测评估机构服务认证证书》</w:t>
      </w:r>
    </w:p>
    <w:p>
      <w:pPr>
        <w:pStyle w:val="2"/>
        <w:numPr>
          <w:ilvl w:val="2"/>
          <w:numId w:val="0"/>
        </w:numPr>
        <w:ind w:leftChars="0"/>
        <w:rPr>
          <w:rFonts w:hint="default"/>
          <w:lang w:val="en-US" w:eastAsia="zh-CN"/>
        </w:rPr>
      </w:pPr>
    </w:p>
    <w:sectPr>
      <w:headerReference r:id="rId3" w:type="default"/>
      <w:footerReference r:id="rId4" w:type="default"/>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C2224B"/>
    <w:multiLevelType w:val="singleLevel"/>
    <w:tmpl w:val="80C2224B"/>
    <w:lvl w:ilvl="0" w:tentative="0">
      <w:start w:val="1"/>
      <w:numFmt w:val="decimal"/>
      <w:lvlText w:val="%1."/>
      <w:lvlJc w:val="left"/>
      <w:pPr>
        <w:ind w:left="425" w:hanging="425"/>
      </w:pPr>
      <w:rPr>
        <w:rFonts w:hint="default"/>
      </w:rPr>
    </w:lvl>
  </w:abstractNum>
  <w:abstractNum w:abstractNumId="1">
    <w:nsid w:val="00000005"/>
    <w:multiLevelType w:val="multilevel"/>
    <w:tmpl w:val="00000005"/>
    <w:lvl w:ilvl="0" w:tentative="0">
      <w:start w:val="1"/>
      <w:numFmt w:val="decimal"/>
      <w:lvlText w:val="%1"/>
      <w:lvlJc w:val="left"/>
      <w:pPr>
        <w:tabs>
          <w:tab w:val="left" w:pos="630"/>
        </w:tabs>
        <w:ind w:left="630" w:hanging="432"/>
      </w:pPr>
      <w:rPr>
        <w:rFonts w:hint="eastAsia"/>
      </w:rPr>
    </w:lvl>
    <w:lvl w:ilvl="1" w:tentative="0">
      <w:start w:val="1"/>
      <w:numFmt w:val="decimal"/>
      <w:lvlText w:val="%1.%2"/>
      <w:lvlJc w:val="left"/>
      <w:pPr>
        <w:tabs>
          <w:tab w:val="left" w:pos="774"/>
        </w:tabs>
        <w:ind w:left="774" w:hanging="576"/>
      </w:pPr>
      <w:rPr>
        <w:rFonts w:hint="eastAsia"/>
      </w:rPr>
    </w:lvl>
    <w:lvl w:ilvl="2" w:tentative="0">
      <w:start w:val="1"/>
      <w:numFmt w:val="decimal"/>
      <w:pStyle w:val="2"/>
      <w:lvlText w:val="%1.%2.%3"/>
      <w:lvlJc w:val="left"/>
      <w:pPr>
        <w:tabs>
          <w:tab w:val="left" w:pos="918"/>
        </w:tabs>
        <w:ind w:left="918" w:hanging="720"/>
      </w:pPr>
      <w:rPr>
        <w:rFonts w:hint="eastAsia"/>
        <w:b w:val="0"/>
      </w:rPr>
    </w:lvl>
    <w:lvl w:ilvl="3" w:tentative="0">
      <w:start w:val="1"/>
      <w:numFmt w:val="decimal"/>
      <w:lvlText w:val="%1.%2.%3.%4"/>
      <w:lvlJc w:val="left"/>
      <w:pPr>
        <w:tabs>
          <w:tab w:val="left" w:pos="1066"/>
        </w:tabs>
        <w:ind w:left="1066" w:hanging="868"/>
      </w:pPr>
      <w:rPr>
        <w:rFonts w:hint="eastAsia"/>
      </w:rPr>
    </w:lvl>
    <w:lvl w:ilvl="4" w:tentative="0">
      <w:start w:val="1"/>
      <w:numFmt w:val="decimal"/>
      <w:lvlText w:val="%5"/>
      <w:lvlJc w:val="left"/>
      <w:pPr>
        <w:tabs>
          <w:tab w:val="left" w:pos="765"/>
        </w:tabs>
        <w:ind w:left="1134" w:hanging="414"/>
      </w:pPr>
      <w:rPr>
        <w:rFonts w:hint="eastAsia"/>
      </w:rPr>
    </w:lvl>
    <w:lvl w:ilvl="5" w:tentative="0">
      <w:start w:val="1"/>
      <w:numFmt w:val="decimal"/>
      <w:lvlText w:val="%6）"/>
      <w:lvlJc w:val="left"/>
      <w:pPr>
        <w:tabs>
          <w:tab w:val="left" w:pos="765"/>
        </w:tabs>
        <w:ind w:left="1134" w:hanging="414"/>
      </w:pPr>
      <w:rPr>
        <w:rFonts w:hint="eastAsia"/>
      </w:rPr>
    </w:lvl>
    <w:lvl w:ilvl="6" w:tentative="0">
      <w:start w:val="1"/>
      <w:numFmt w:val="lowerLetter"/>
      <w:lvlText w:val="%7"/>
      <w:lvlJc w:val="left"/>
      <w:pPr>
        <w:tabs>
          <w:tab w:val="left" w:pos="765"/>
        </w:tabs>
        <w:ind w:left="1134" w:hanging="414"/>
      </w:pPr>
      <w:rPr>
        <w:rFonts w:hint="default"/>
      </w:rPr>
    </w:lvl>
    <w:lvl w:ilvl="7" w:tentative="0">
      <w:start w:val="1"/>
      <w:numFmt w:val="decimal"/>
      <w:lvlText w:val="%1.%2.%3.%4.%5.%6.%7.%8"/>
      <w:lvlJc w:val="left"/>
      <w:pPr>
        <w:tabs>
          <w:tab w:val="left" w:pos="1638"/>
        </w:tabs>
        <w:ind w:left="1638" w:hanging="1440"/>
      </w:pPr>
      <w:rPr>
        <w:rFonts w:hint="eastAsia"/>
      </w:rPr>
    </w:lvl>
    <w:lvl w:ilvl="8" w:tentative="0">
      <w:start w:val="1"/>
      <w:numFmt w:val="decimal"/>
      <w:lvlText w:val="%1.%2.%3.%4.%5.%6.%7.%8.%9"/>
      <w:lvlJc w:val="left"/>
      <w:pPr>
        <w:tabs>
          <w:tab w:val="left" w:pos="1782"/>
        </w:tabs>
        <w:ind w:left="1782" w:hanging="1584"/>
      </w:pPr>
      <w:rPr>
        <w:rFonts w:hint="eastAsia"/>
      </w:rPr>
    </w:lvl>
  </w:abstractNum>
  <w:abstractNum w:abstractNumId="2">
    <w:nsid w:val="2217C99A"/>
    <w:multiLevelType w:val="singleLevel"/>
    <w:tmpl w:val="2217C99A"/>
    <w:lvl w:ilvl="0" w:tentative="0">
      <w:start w:val="1"/>
      <w:numFmt w:val="decimal"/>
      <w:lvlText w:val="%1."/>
      <w:lvlJc w:val="left"/>
      <w:pPr>
        <w:ind w:left="425" w:hanging="425"/>
      </w:pPr>
      <w:rPr>
        <w:rFonts w:hint="default"/>
      </w:rPr>
    </w:lvl>
  </w:abstractNum>
  <w:abstractNum w:abstractNumId="3">
    <w:nsid w:val="4231E4B1"/>
    <w:multiLevelType w:val="singleLevel"/>
    <w:tmpl w:val="4231E4B1"/>
    <w:lvl w:ilvl="0" w:tentative="0">
      <w:start w:val="1"/>
      <w:numFmt w:val="decimal"/>
      <w:lvlText w:val="%1."/>
      <w:lvlJc w:val="left"/>
      <w:pPr>
        <w:ind w:left="425" w:hanging="425"/>
      </w:pPr>
      <w:rPr>
        <w:rFonts w:hint="default"/>
      </w:rPr>
    </w:lvl>
  </w:abstractNum>
  <w:abstractNum w:abstractNumId="4">
    <w:nsid w:val="689C6CEC"/>
    <w:multiLevelType w:val="singleLevel"/>
    <w:tmpl w:val="689C6CEC"/>
    <w:lvl w:ilvl="0" w:tentative="0">
      <w:start w:val="4"/>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1"/>
  <w:displayVerticalDrawingGridEvery w:val="1"/>
  <w:doNotUseMarginsForDrawingGridOrigin w:val="1"/>
  <w:drawingGridHorizontalOrigin w:val="1701"/>
  <w:drawingGridVerticalOrigin w:val="1984"/>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lZWRmMzI1ODQ5NTU2ZjUzYzE2ZTJlMjE0ZjEzN2MifQ=="/>
  </w:docVars>
  <w:rsids>
    <w:rsidRoot w:val="00172A27"/>
    <w:rsid w:val="001602D1"/>
    <w:rsid w:val="00752E6C"/>
    <w:rsid w:val="008E7C76"/>
    <w:rsid w:val="00C51D61"/>
    <w:rsid w:val="00CB0415"/>
    <w:rsid w:val="00FD31B0"/>
    <w:rsid w:val="01137ECF"/>
    <w:rsid w:val="01374688"/>
    <w:rsid w:val="014453AC"/>
    <w:rsid w:val="020C26AF"/>
    <w:rsid w:val="024608FF"/>
    <w:rsid w:val="025A13F4"/>
    <w:rsid w:val="029370C7"/>
    <w:rsid w:val="02F45437"/>
    <w:rsid w:val="031C080D"/>
    <w:rsid w:val="036277F1"/>
    <w:rsid w:val="03676224"/>
    <w:rsid w:val="03855756"/>
    <w:rsid w:val="03A54AB2"/>
    <w:rsid w:val="041A3E05"/>
    <w:rsid w:val="04D51833"/>
    <w:rsid w:val="050C3BAF"/>
    <w:rsid w:val="053F6047"/>
    <w:rsid w:val="05A02EEB"/>
    <w:rsid w:val="05B445AC"/>
    <w:rsid w:val="05D22BF9"/>
    <w:rsid w:val="064803E0"/>
    <w:rsid w:val="06EF70C1"/>
    <w:rsid w:val="074C13B6"/>
    <w:rsid w:val="082E12D2"/>
    <w:rsid w:val="08484B64"/>
    <w:rsid w:val="085409E1"/>
    <w:rsid w:val="09110C6F"/>
    <w:rsid w:val="091276F4"/>
    <w:rsid w:val="09411CE9"/>
    <w:rsid w:val="09591143"/>
    <w:rsid w:val="096E5786"/>
    <w:rsid w:val="09B01A34"/>
    <w:rsid w:val="09CF031F"/>
    <w:rsid w:val="09DD27B3"/>
    <w:rsid w:val="0A2435D4"/>
    <w:rsid w:val="0A250E3D"/>
    <w:rsid w:val="0A5B5B90"/>
    <w:rsid w:val="0A81670B"/>
    <w:rsid w:val="0A9C4422"/>
    <w:rsid w:val="0AAF5135"/>
    <w:rsid w:val="0AEB4F92"/>
    <w:rsid w:val="0AF117BA"/>
    <w:rsid w:val="0B082BC1"/>
    <w:rsid w:val="0B143747"/>
    <w:rsid w:val="0B823734"/>
    <w:rsid w:val="0BD73FCC"/>
    <w:rsid w:val="0C0638C8"/>
    <w:rsid w:val="0C2367C9"/>
    <w:rsid w:val="0C482583"/>
    <w:rsid w:val="0CCE674A"/>
    <w:rsid w:val="0CF74168"/>
    <w:rsid w:val="0D1C18CB"/>
    <w:rsid w:val="0D313BB4"/>
    <w:rsid w:val="0DA9147C"/>
    <w:rsid w:val="0DD621C2"/>
    <w:rsid w:val="0E321045"/>
    <w:rsid w:val="0E90365D"/>
    <w:rsid w:val="0E9F3E09"/>
    <w:rsid w:val="0EC12610"/>
    <w:rsid w:val="0F544691"/>
    <w:rsid w:val="0F682772"/>
    <w:rsid w:val="0F8617CB"/>
    <w:rsid w:val="0F912498"/>
    <w:rsid w:val="0FBC40A5"/>
    <w:rsid w:val="10002F12"/>
    <w:rsid w:val="102449FA"/>
    <w:rsid w:val="1027040D"/>
    <w:rsid w:val="102B43D2"/>
    <w:rsid w:val="102C0AB4"/>
    <w:rsid w:val="105910A9"/>
    <w:rsid w:val="10DB542E"/>
    <w:rsid w:val="11514C86"/>
    <w:rsid w:val="117135AC"/>
    <w:rsid w:val="117C0DDD"/>
    <w:rsid w:val="11BC5DE9"/>
    <w:rsid w:val="11D52007"/>
    <w:rsid w:val="11EC1C20"/>
    <w:rsid w:val="122F5427"/>
    <w:rsid w:val="12876C72"/>
    <w:rsid w:val="12E42D4A"/>
    <w:rsid w:val="130F518A"/>
    <w:rsid w:val="13221D7E"/>
    <w:rsid w:val="136B740E"/>
    <w:rsid w:val="13B705B7"/>
    <w:rsid w:val="13BF2058"/>
    <w:rsid w:val="14297C58"/>
    <w:rsid w:val="147E1FF6"/>
    <w:rsid w:val="14E5237E"/>
    <w:rsid w:val="151C1881"/>
    <w:rsid w:val="15FE1DC7"/>
    <w:rsid w:val="16115C10"/>
    <w:rsid w:val="16394E85"/>
    <w:rsid w:val="165F0B70"/>
    <w:rsid w:val="166F7855"/>
    <w:rsid w:val="173047E2"/>
    <w:rsid w:val="1746673D"/>
    <w:rsid w:val="17BD5866"/>
    <w:rsid w:val="17DD77B4"/>
    <w:rsid w:val="188A4F1C"/>
    <w:rsid w:val="18B34AAD"/>
    <w:rsid w:val="18F12ABA"/>
    <w:rsid w:val="19F866DC"/>
    <w:rsid w:val="1A01044F"/>
    <w:rsid w:val="1A1F0F68"/>
    <w:rsid w:val="1A462B1E"/>
    <w:rsid w:val="1A544922"/>
    <w:rsid w:val="1A8C7B55"/>
    <w:rsid w:val="1B2E3FE4"/>
    <w:rsid w:val="1B422D53"/>
    <w:rsid w:val="1BE662BD"/>
    <w:rsid w:val="1C2638BB"/>
    <w:rsid w:val="1C3E33E8"/>
    <w:rsid w:val="1C5E2E4F"/>
    <w:rsid w:val="1C9F65DC"/>
    <w:rsid w:val="1D281E56"/>
    <w:rsid w:val="1DE23202"/>
    <w:rsid w:val="1FB572E0"/>
    <w:rsid w:val="1FC66000"/>
    <w:rsid w:val="1FF46398"/>
    <w:rsid w:val="206825FC"/>
    <w:rsid w:val="20AF31ED"/>
    <w:rsid w:val="20C67B85"/>
    <w:rsid w:val="20C74B99"/>
    <w:rsid w:val="20D6016B"/>
    <w:rsid w:val="212978C8"/>
    <w:rsid w:val="212D359E"/>
    <w:rsid w:val="22407B1F"/>
    <w:rsid w:val="22464BAA"/>
    <w:rsid w:val="224F32EF"/>
    <w:rsid w:val="226A3686"/>
    <w:rsid w:val="22DB3061"/>
    <w:rsid w:val="22DC5A60"/>
    <w:rsid w:val="22E57640"/>
    <w:rsid w:val="232C15FF"/>
    <w:rsid w:val="23620C6C"/>
    <w:rsid w:val="25215468"/>
    <w:rsid w:val="26281667"/>
    <w:rsid w:val="26633E71"/>
    <w:rsid w:val="269F5571"/>
    <w:rsid w:val="27424DD8"/>
    <w:rsid w:val="27A6466D"/>
    <w:rsid w:val="27AF3F3C"/>
    <w:rsid w:val="282A1D1B"/>
    <w:rsid w:val="283A28BB"/>
    <w:rsid w:val="28663ED4"/>
    <w:rsid w:val="28A11F36"/>
    <w:rsid w:val="290F1A48"/>
    <w:rsid w:val="299C20B2"/>
    <w:rsid w:val="2A9E2E85"/>
    <w:rsid w:val="2AAF6413"/>
    <w:rsid w:val="2AD71B3D"/>
    <w:rsid w:val="2ADA4D63"/>
    <w:rsid w:val="2B441384"/>
    <w:rsid w:val="2B4858CF"/>
    <w:rsid w:val="2B783EA2"/>
    <w:rsid w:val="2C3341EE"/>
    <w:rsid w:val="2C71043A"/>
    <w:rsid w:val="2CA8245C"/>
    <w:rsid w:val="2CC1715C"/>
    <w:rsid w:val="2CEB2E23"/>
    <w:rsid w:val="2E286AD5"/>
    <w:rsid w:val="2E2C14E7"/>
    <w:rsid w:val="2E402664"/>
    <w:rsid w:val="2E5E77B7"/>
    <w:rsid w:val="2EAE797B"/>
    <w:rsid w:val="2EE35F7F"/>
    <w:rsid w:val="2EF26064"/>
    <w:rsid w:val="2F011218"/>
    <w:rsid w:val="2F507B9D"/>
    <w:rsid w:val="2F6345FC"/>
    <w:rsid w:val="2F8B3CA8"/>
    <w:rsid w:val="2FB1655D"/>
    <w:rsid w:val="2FC6462C"/>
    <w:rsid w:val="2FC73AB0"/>
    <w:rsid w:val="2FFE54FC"/>
    <w:rsid w:val="30762486"/>
    <w:rsid w:val="30D00F7A"/>
    <w:rsid w:val="30DD417E"/>
    <w:rsid w:val="311C1853"/>
    <w:rsid w:val="3132480E"/>
    <w:rsid w:val="31341EDD"/>
    <w:rsid w:val="314F484D"/>
    <w:rsid w:val="324A0061"/>
    <w:rsid w:val="32500DA3"/>
    <w:rsid w:val="325321BE"/>
    <w:rsid w:val="331A3028"/>
    <w:rsid w:val="33353037"/>
    <w:rsid w:val="337158E6"/>
    <w:rsid w:val="338F2830"/>
    <w:rsid w:val="33D403AD"/>
    <w:rsid w:val="33ED421F"/>
    <w:rsid w:val="3419179E"/>
    <w:rsid w:val="350268C3"/>
    <w:rsid w:val="359D405F"/>
    <w:rsid w:val="35AB6CBC"/>
    <w:rsid w:val="35BE74EB"/>
    <w:rsid w:val="35D81678"/>
    <w:rsid w:val="35E33D48"/>
    <w:rsid w:val="360C1498"/>
    <w:rsid w:val="361838A9"/>
    <w:rsid w:val="361A20EA"/>
    <w:rsid w:val="362A27AC"/>
    <w:rsid w:val="36653743"/>
    <w:rsid w:val="36956799"/>
    <w:rsid w:val="36CB3730"/>
    <w:rsid w:val="3732547D"/>
    <w:rsid w:val="37491D1E"/>
    <w:rsid w:val="376F266E"/>
    <w:rsid w:val="37726A6C"/>
    <w:rsid w:val="37976856"/>
    <w:rsid w:val="380D5CEE"/>
    <w:rsid w:val="38526A9D"/>
    <w:rsid w:val="389A6125"/>
    <w:rsid w:val="38B54216"/>
    <w:rsid w:val="392D2025"/>
    <w:rsid w:val="392F050E"/>
    <w:rsid w:val="39427D62"/>
    <w:rsid w:val="397F21A8"/>
    <w:rsid w:val="39A121FC"/>
    <w:rsid w:val="39A30B41"/>
    <w:rsid w:val="39B80544"/>
    <w:rsid w:val="39D41265"/>
    <w:rsid w:val="39E34690"/>
    <w:rsid w:val="3A65197F"/>
    <w:rsid w:val="3AE1179A"/>
    <w:rsid w:val="3B4811F3"/>
    <w:rsid w:val="3B4C2ACA"/>
    <w:rsid w:val="3B724C6C"/>
    <w:rsid w:val="3BD505DF"/>
    <w:rsid w:val="3C141B14"/>
    <w:rsid w:val="3C8C6A89"/>
    <w:rsid w:val="3CB563A8"/>
    <w:rsid w:val="3CD14C53"/>
    <w:rsid w:val="3D4E2338"/>
    <w:rsid w:val="3D9312BD"/>
    <w:rsid w:val="3DDB7B4C"/>
    <w:rsid w:val="3E774511"/>
    <w:rsid w:val="3EC14B85"/>
    <w:rsid w:val="3F05652E"/>
    <w:rsid w:val="3F727EAC"/>
    <w:rsid w:val="3FA83F2F"/>
    <w:rsid w:val="3FD31E14"/>
    <w:rsid w:val="3FED2FEE"/>
    <w:rsid w:val="40845EE3"/>
    <w:rsid w:val="408A66ED"/>
    <w:rsid w:val="41034287"/>
    <w:rsid w:val="413B3B40"/>
    <w:rsid w:val="41E80355"/>
    <w:rsid w:val="422770E0"/>
    <w:rsid w:val="424F6BB8"/>
    <w:rsid w:val="4253463A"/>
    <w:rsid w:val="425C0EB1"/>
    <w:rsid w:val="42A247E0"/>
    <w:rsid w:val="42B4671F"/>
    <w:rsid w:val="43875D58"/>
    <w:rsid w:val="43ED51CF"/>
    <w:rsid w:val="43FF093A"/>
    <w:rsid w:val="44AA58A8"/>
    <w:rsid w:val="459D476A"/>
    <w:rsid w:val="45F61B23"/>
    <w:rsid w:val="45FC0115"/>
    <w:rsid w:val="46C816AD"/>
    <w:rsid w:val="46D23E64"/>
    <w:rsid w:val="46F349BA"/>
    <w:rsid w:val="471E3774"/>
    <w:rsid w:val="47290D13"/>
    <w:rsid w:val="472B17F3"/>
    <w:rsid w:val="47585D27"/>
    <w:rsid w:val="478B48F5"/>
    <w:rsid w:val="47BE559A"/>
    <w:rsid w:val="48194728"/>
    <w:rsid w:val="48441E9E"/>
    <w:rsid w:val="48A3045C"/>
    <w:rsid w:val="48A508E3"/>
    <w:rsid w:val="49ED7AE1"/>
    <w:rsid w:val="4A163466"/>
    <w:rsid w:val="4A1A1D55"/>
    <w:rsid w:val="4A3D49DC"/>
    <w:rsid w:val="4ADC4B4E"/>
    <w:rsid w:val="4BB04055"/>
    <w:rsid w:val="4CCA5327"/>
    <w:rsid w:val="4CEE33E7"/>
    <w:rsid w:val="4D99750E"/>
    <w:rsid w:val="4DA1135F"/>
    <w:rsid w:val="4E425657"/>
    <w:rsid w:val="4E7920AA"/>
    <w:rsid w:val="4EC01FA7"/>
    <w:rsid w:val="4EDA6A30"/>
    <w:rsid w:val="4EFE5D97"/>
    <w:rsid w:val="4F0352E8"/>
    <w:rsid w:val="4F391FC7"/>
    <w:rsid w:val="4F584B78"/>
    <w:rsid w:val="4F996FB4"/>
    <w:rsid w:val="4F9E159C"/>
    <w:rsid w:val="4FAF23CA"/>
    <w:rsid w:val="501A22AF"/>
    <w:rsid w:val="50821F41"/>
    <w:rsid w:val="50AC4237"/>
    <w:rsid w:val="50C41DE6"/>
    <w:rsid w:val="50D12A42"/>
    <w:rsid w:val="51193439"/>
    <w:rsid w:val="51760F22"/>
    <w:rsid w:val="51986C30"/>
    <w:rsid w:val="51CC5A15"/>
    <w:rsid w:val="51F96A8C"/>
    <w:rsid w:val="520553B5"/>
    <w:rsid w:val="529F6FA1"/>
    <w:rsid w:val="52F61E27"/>
    <w:rsid w:val="52FB34F8"/>
    <w:rsid w:val="5389182C"/>
    <w:rsid w:val="54126FEA"/>
    <w:rsid w:val="541A38C5"/>
    <w:rsid w:val="543873E2"/>
    <w:rsid w:val="54786F2E"/>
    <w:rsid w:val="547F1278"/>
    <w:rsid w:val="55104513"/>
    <w:rsid w:val="5559515B"/>
    <w:rsid w:val="55F7771A"/>
    <w:rsid w:val="563D5419"/>
    <w:rsid w:val="56711D75"/>
    <w:rsid w:val="569307A1"/>
    <w:rsid w:val="56A2354C"/>
    <w:rsid w:val="56E76AFF"/>
    <w:rsid w:val="5730151F"/>
    <w:rsid w:val="573A5C16"/>
    <w:rsid w:val="58203D77"/>
    <w:rsid w:val="58474262"/>
    <w:rsid w:val="586909EC"/>
    <w:rsid w:val="58763948"/>
    <w:rsid w:val="58D20271"/>
    <w:rsid w:val="58FB2203"/>
    <w:rsid w:val="59030E04"/>
    <w:rsid w:val="59154A5B"/>
    <w:rsid w:val="59770229"/>
    <w:rsid w:val="59D90B7D"/>
    <w:rsid w:val="5A6C46CB"/>
    <w:rsid w:val="5A9D471A"/>
    <w:rsid w:val="5B206E37"/>
    <w:rsid w:val="5B6F0DED"/>
    <w:rsid w:val="5B7932AF"/>
    <w:rsid w:val="5BAC757B"/>
    <w:rsid w:val="5BF34D6F"/>
    <w:rsid w:val="5C3E78F1"/>
    <w:rsid w:val="5C4A47E5"/>
    <w:rsid w:val="5C93136F"/>
    <w:rsid w:val="5CA04826"/>
    <w:rsid w:val="5D070DA3"/>
    <w:rsid w:val="5D072A19"/>
    <w:rsid w:val="5D1125B7"/>
    <w:rsid w:val="5D604D00"/>
    <w:rsid w:val="5D607C4A"/>
    <w:rsid w:val="5D8849EC"/>
    <w:rsid w:val="5E1E45A2"/>
    <w:rsid w:val="5E241F74"/>
    <w:rsid w:val="5E663618"/>
    <w:rsid w:val="5EAE73CF"/>
    <w:rsid w:val="5EB16E79"/>
    <w:rsid w:val="5F1062CF"/>
    <w:rsid w:val="5F476635"/>
    <w:rsid w:val="5F6C680E"/>
    <w:rsid w:val="5F7502ED"/>
    <w:rsid w:val="5FB00E6D"/>
    <w:rsid w:val="5FB054A2"/>
    <w:rsid w:val="605A13EF"/>
    <w:rsid w:val="60633AFC"/>
    <w:rsid w:val="6081623A"/>
    <w:rsid w:val="60CA2AAE"/>
    <w:rsid w:val="611C05FF"/>
    <w:rsid w:val="61585D00"/>
    <w:rsid w:val="61A16997"/>
    <w:rsid w:val="61EB5333"/>
    <w:rsid w:val="6215345B"/>
    <w:rsid w:val="626A0792"/>
    <w:rsid w:val="628741D3"/>
    <w:rsid w:val="63364BF7"/>
    <w:rsid w:val="633E4EEA"/>
    <w:rsid w:val="63CF67CD"/>
    <w:rsid w:val="640C1C57"/>
    <w:rsid w:val="649F3A3B"/>
    <w:rsid w:val="64B3690C"/>
    <w:rsid w:val="64E92159"/>
    <w:rsid w:val="65227B65"/>
    <w:rsid w:val="654B178C"/>
    <w:rsid w:val="65D73862"/>
    <w:rsid w:val="65E7099D"/>
    <w:rsid w:val="66094B02"/>
    <w:rsid w:val="66A27938"/>
    <w:rsid w:val="66B503F8"/>
    <w:rsid w:val="66CC1FAC"/>
    <w:rsid w:val="66CE6088"/>
    <w:rsid w:val="678B3ED8"/>
    <w:rsid w:val="67AA2299"/>
    <w:rsid w:val="67B870B8"/>
    <w:rsid w:val="67DE1AF7"/>
    <w:rsid w:val="681A12C7"/>
    <w:rsid w:val="68272FAC"/>
    <w:rsid w:val="68532E18"/>
    <w:rsid w:val="68894159"/>
    <w:rsid w:val="689A7AEB"/>
    <w:rsid w:val="68C25562"/>
    <w:rsid w:val="68C4486A"/>
    <w:rsid w:val="69836B3A"/>
    <w:rsid w:val="69951AA4"/>
    <w:rsid w:val="69B71A27"/>
    <w:rsid w:val="69E32645"/>
    <w:rsid w:val="6A3C17FE"/>
    <w:rsid w:val="6A6B754D"/>
    <w:rsid w:val="6A9F7036"/>
    <w:rsid w:val="6AD02000"/>
    <w:rsid w:val="6B06151A"/>
    <w:rsid w:val="6B7D2C66"/>
    <w:rsid w:val="6BA60D05"/>
    <w:rsid w:val="6C49253E"/>
    <w:rsid w:val="6C5F1586"/>
    <w:rsid w:val="6CD84AD0"/>
    <w:rsid w:val="6CEE7D57"/>
    <w:rsid w:val="6D6E6CAF"/>
    <w:rsid w:val="6DB43624"/>
    <w:rsid w:val="6E2205CA"/>
    <w:rsid w:val="6E341EDA"/>
    <w:rsid w:val="6E886190"/>
    <w:rsid w:val="6FF129D3"/>
    <w:rsid w:val="6FF46638"/>
    <w:rsid w:val="70A27CDF"/>
    <w:rsid w:val="70EE4F3B"/>
    <w:rsid w:val="716C186B"/>
    <w:rsid w:val="72406D3D"/>
    <w:rsid w:val="72582158"/>
    <w:rsid w:val="732C2A4D"/>
    <w:rsid w:val="73303587"/>
    <w:rsid w:val="73946409"/>
    <w:rsid w:val="739F4990"/>
    <w:rsid w:val="74627240"/>
    <w:rsid w:val="74782DCB"/>
    <w:rsid w:val="74C36551"/>
    <w:rsid w:val="74C739B2"/>
    <w:rsid w:val="7543410B"/>
    <w:rsid w:val="754A25C4"/>
    <w:rsid w:val="75B92E25"/>
    <w:rsid w:val="75CF32DA"/>
    <w:rsid w:val="75FC7406"/>
    <w:rsid w:val="762D16D9"/>
    <w:rsid w:val="76494E7C"/>
    <w:rsid w:val="7670577F"/>
    <w:rsid w:val="76804E5F"/>
    <w:rsid w:val="77086156"/>
    <w:rsid w:val="7724443B"/>
    <w:rsid w:val="773A7F5E"/>
    <w:rsid w:val="7762336C"/>
    <w:rsid w:val="781E6648"/>
    <w:rsid w:val="78534FAA"/>
    <w:rsid w:val="78DB614C"/>
    <w:rsid w:val="792C0E5D"/>
    <w:rsid w:val="79965574"/>
    <w:rsid w:val="79D205C2"/>
    <w:rsid w:val="7B1961E9"/>
    <w:rsid w:val="7BA6512C"/>
    <w:rsid w:val="7BD678E6"/>
    <w:rsid w:val="7C74110E"/>
    <w:rsid w:val="7D5053AB"/>
    <w:rsid w:val="7D605B76"/>
    <w:rsid w:val="7D6678B3"/>
    <w:rsid w:val="7DB03CAE"/>
    <w:rsid w:val="7E401042"/>
    <w:rsid w:val="7E4F3D42"/>
    <w:rsid w:val="7E5A1C3A"/>
    <w:rsid w:val="7EC77D02"/>
    <w:rsid w:val="7ED63918"/>
    <w:rsid w:val="7F253F27"/>
    <w:rsid w:val="7F4C44E4"/>
    <w:rsid w:val="7FB96999"/>
    <w:rsid w:val="7FEF11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9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99"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uiPriority="99"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2"/>
    <w:qFormat/>
    <w:uiPriority w:val="0"/>
    <w:pPr>
      <w:jc w:val="both"/>
    </w:pPr>
    <w:rPr>
      <w:rFonts w:ascii="Times New Roman" w:hAnsi="Times New Roman" w:eastAsia="宋体" w:cs="Times New Roman"/>
      <w:kern w:val="2"/>
      <w:sz w:val="21"/>
    </w:rPr>
  </w:style>
  <w:style w:type="paragraph" w:styleId="3">
    <w:name w:val="heading 1"/>
    <w:basedOn w:val="1"/>
    <w:next w:val="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paragraph" w:styleId="2">
    <w:name w:val="heading 3"/>
    <w:basedOn w:val="1"/>
    <w:next w:val="1"/>
    <w:qFormat/>
    <w:uiPriority w:val="0"/>
    <w:pPr>
      <w:keepNext/>
      <w:keepLines/>
      <w:numPr>
        <w:ilvl w:val="2"/>
        <w:numId w:val="1"/>
      </w:numPr>
      <w:ind w:left="720"/>
      <w:outlineLvl w:val="2"/>
    </w:pPr>
    <w:rPr>
      <w:rFonts w:ascii="Calibri" w:hAnsi="Calibri" w:eastAsia="宋体" w:cs="Times New Roman"/>
      <w:bCs/>
      <w:szCs w:val="32"/>
    </w:rPr>
  </w:style>
  <w:style w:type="paragraph" w:styleId="5">
    <w:name w:val="heading 4"/>
    <w:basedOn w:val="1"/>
    <w:next w:val="1"/>
    <w:unhideWhenUsed/>
    <w:qFormat/>
    <w:uiPriority w:val="9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unhideWhenUsed/>
    <w:qFormat/>
    <w:uiPriority w:val="99"/>
  </w:style>
  <w:style w:type="table" w:default="1" w:styleId="15">
    <w:name w:val="Normal Table"/>
    <w:semiHidden/>
    <w:qFormat/>
    <w:uiPriority w:val="0"/>
    <w:tblPr>
      <w:tblCellMar>
        <w:top w:w="0" w:type="dxa"/>
        <w:left w:w="108" w:type="dxa"/>
        <w:bottom w:w="0" w:type="dxa"/>
        <w:right w:w="108" w:type="dxa"/>
      </w:tblCellMar>
    </w:tblPr>
  </w:style>
  <w:style w:type="paragraph" w:styleId="6">
    <w:name w:val="Body Text"/>
    <w:basedOn w:val="1"/>
    <w:next w:val="1"/>
    <w:unhideWhenUsed/>
    <w:qFormat/>
    <w:uiPriority w:val="0"/>
    <w:pPr>
      <w:widowControl/>
      <w:adjustRightInd/>
      <w:spacing w:after="120" w:line="240" w:lineRule="auto"/>
    </w:pPr>
    <w:rPr>
      <w:rFonts w:hint="default" w:ascii="Wingdings" w:hAnsi="Wingdings"/>
      <w:kern w:val="2"/>
      <w:sz w:val="21"/>
    </w:rPr>
  </w:style>
  <w:style w:type="paragraph" w:styleId="7">
    <w:name w:val="Plain Text"/>
    <w:basedOn w:val="1"/>
    <w:qFormat/>
    <w:uiPriority w:val="0"/>
    <w:rPr>
      <w:rFonts w:ascii="宋体" w:hAnsi="Courier New"/>
      <w:szCs w:val="20"/>
    </w:rPr>
  </w:style>
  <w:style w:type="paragraph" w:styleId="8">
    <w:name w:val="Balloon Text"/>
    <w:basedOn w:val="1"/>
    <w:semiHidden/>
    <w:unhideWhenUsed/>
    <w:qFormat/>
    <w:uiPriority w:val="99"/>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Subtitle"/>
    <w:qFormat/>
    <w:uiPriority w:val="0"/>
    <w:pPr>
      <w:widowControl w:val="0"/>
      <w:spacing w:before="240" w:after="60" w:line="312" w:lineRule="auto"/>
      <w:jc w:val="center"/>
      <w:outlineLvl w:val="1"/>
    </w:pPr>
    <w:rPr>
      <w:rFonts w:ascii="Arial" w:hAnsi="Arial" w:eastAsia="宋体" w:cs="Arial"/>
      <w:b/>
      <w:bCs/>
      <w:kern w:val="28"/>
      <w:sz w:val="32"/>
      <w:szCs w:val="32"/>
      <w:lang w:val="en-US" w:eastAsia="zh-CN" w:bidi="ar-SA"/>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Title"/>
    <w:basedOn w:val="1"/>
    <w:next w:val="1"/>
    <w:qFormat/>
    <w:uiPriority w:val="0"/>
    <w:pPr>
      <w:spacing w:before="240" w:after="60"/>
      <w:jc w:val="center"/>
      <w:outlineLvl w:val="0"/>
    </w:pPr>
    <w:rPr>
      <w:rFonts w:asciiTheme="majorHAnsi" w:hAnsiTheme="majorHAnsi" w:eastAsiaTheme="majorEastAsia" w:cstheme="majorBidi"/>
      <w:b/>
      <w:bCs/>
      <w:sz w:val="32"/>
      <w:szCs w:val="32"/>
    </w:rPr>
  </w:style>
  <w:style w:type="paragraph" w:styleId="14">
    <w:name w:val="Body Text First Indent"/>
    <w:basedOn w:val="6"/>
    <w:qFormat/>
    <w:uiPriority w:val="0"/>
    <w:pPr>
      <w:widowControl w:val="0"/>
      <w:ind w:firstLine="420" w:firstLineChars="100"/>
      <w:jc w:val="both"/>
    </w:pPr>
    <w:rPr>
      <w:rFonts w:ascii="宋体"/>
      <w:sz w:val="34"/>
      <w:szCs w:val="22"/>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page number"/>
    <w:basedOn w:val="17"/>
    <w:qFormat/>
    <w:uiPriority w:val="0"/>
  </w:style>
  <w:style w:type="paragraph" w:customStyle="1" w:styleId="20">
    <w:name w:val="文档正文"/>
    <w:basedOn w:val="1"/>
    <w:qFormat/>
    <w:uiPriority w:val="0"/>
    <w:pPr>
      <w:adjustRightInd w:val="0"/>
      <w:spacing w:line="480" w:lineRule="atLeast"/>
      <w:textAlignment w:val="baseline"/>
    </w:pPr>
    <w:rPr>
      <w:rFonts w:ascii="Arial" w:hAnsi="Arial"/>
      <w:kern w:val="0"/>
    </w:rPr>
  </w:style>
  <w:style w:type="paragraph" w:customStyle="1" w:styleId="21">
    <w:name w:val="List Paragraph"/>
    <w:basedOn w:val="1"/>
    <w:qFormat/>
    <w:uiPriority w:val="34"/>
    <w:pPr>
      <w:ind w:firstLine="420" w:firstLineChars="200"/>
    </w:pPr>
    <w:rPr>
      <w:rFonts w:ascii="Calibri" w:hAnsi="Calibri" w:eastAsia="宋体" w:cs="Times New Roman"/>
      <w:sz w:val="21"/>
      <w:szCs w:val="22"/>
    </w:rPr>
  </w:style>
  <w:style w:type="character" w:customStyle="1" w:styleId="22">
    <w:name w:val="NormalCharacter"/>
    <w:link w:val="1"/>
    <w:semiHidden/>
    <w:qFormat/>
    <w:uiPriority w:val="0"/>
    <w:rPr>
      <w:rFonts w:ascii="Times New Roman" w:hAnsi="Times New Roman" w:eastAsia="宋体" w:cs="Times New Roman"/>
      <w:kern w:val="2"/>
      <w:sz w:val="21"/>
    </w:rPr>
  </w:style>
  <w:style w:type="paragraph" w:customStyle="1" w:styleId="23">
    <w:name w:val="ParaAttribute0"/>
    <w:qFormat/>
    <w:uiPriority w:val="99"/>
    <w:pPr>
      <w:widowControl w:val="0"/>
      <w:wordWrap w:val="0"/>
      <w:ind w:left="360"/>
      <w:jc w:val="center"/>
    </w:pPr>
    <w:rPr>
      <w:rFonts w:ascii="Times New Roman" w:hAnsi="Times New Roman" w:eastAsia="宋体" w:cs="Times New Roman"/>
      <w:lang w:val="en-US" w:eastAsia="zh-CN" w:bidi="ar-SA"/>
    </w:rPr>
  </w:style>
  <w:style w:type="character" w:customStyle="1" w:styleId="24">
    <w:name w:val="CharAttribute12"/>
    <w:qFormat/>
    <w:uiPriority w:val="99"/>
    <w:rPr>
      <w:rFonts w:ascii="宋体" w:eastAsia="宋体"/>
      <w:sz w:val="28"/>
    </w:rPr>
  </w:style>
  <w:style w:type="paragraph" w:customStyle="1" w:styleId="25">
    <w:name w:val="ParaAttribute8"/>
    <w:qFormat/>
    <w:uiPriority w:val="99"/>
    <w:pPr>
      <w:widowControl w:val="0"/>
      <w:wordWrap w:val="0"/>
    </w:pPr>
    <w:rPr>
      <w:rFonts w:ascii="Times New Roman" w:hAnsi="Times New Roman" w:eastAsia="宋体" w:cs="Times New Roman"/>
      <w:lang w:val="en-US" w:eastAsia="zh-CN" w:bidi="ar-SA"/>
    </w:rPr>
  </w:style>
  <w:style w:type="paragraph" w:customStyle="1" w:styleId="26">
    <w:name w:val="ParaAttribute6"/>
    <w:qFormat/>
    <w:uiPriority w:val="99"/>
    <w:pPr>
      <w:widowControl w:val="0"/>
      <w:wordWrap w:val="0"/>
    </w:pPr>
    <w:rPr>
      <w:rFonts w:ascii="Times New Roman" w:hAnsi="Times New Roman" w:eastAsia="宋体" w:cs="Times New Roman"/>
      <w:lang w:val="en-US" w:eastAsia="zh-CN" w:bidi="ar-SA"/>
    </w:rPr>
  </w:style>
  <w:style w:type="paragraph" w:customStyle="1" w:styleId="27">
    <w:name w:val="ParaAttribute4"/>
    <w:qFormat/>
    <w:uiPriority w:val="99"/>
    <w:pPr>
      <w:widowControl w:val="0"/>
      <w:wordWrap w:val="0"/>
    </w:pPr>
    <w:rPr>
      <w:rFonts w:ascii="Times New Roman" w:hAnsi="Times New Roman" w:eastAsia="宋体" w:cs="Times New Roman"/>
      <w:lang w:val="en-US" w:eastAsia="zh-CN" w:bidi="ar-SA"/>
    </w:rPr>
  </w:style>
  <w:style w:type="paragraph" w:customStyle="1" w:styleId="28">
    <w:name w:val="ParaAttribute2"/>
    <w:qFormat/>
    <w:uiPriority w:val="99"/>
    <w:pPr>
      <w:widowControl w:val="0"/>
      <w:tabs>
        <w:tab w:val="center" w:pos="4153"/>
        <w:tab w:val="right" w:pos="8306"/>
      </w:tabs>
      <w:wordWrap w:val="0"/>
    </w:pPr>
    <w:rPr>
      <w:rFonts w:ascii="Times New Roman" w:hAnsi="Times New Roman" w:eastAsia="宋体" w:cs="Times New Roman"/>
      <w:lang w:val="en-US" w:eastAsia="zh-CN" w:bidi="ar-SA"/>
    </w:rPr>
  </w:style>
  <w:style w:type="character" w:customStyle="1" w:styleId="29">
    <w:name w:val="CharAttribute4"/>
    <w:qFormat/>
    <w:uiPriority w:val="99"/>
    <w:rPr>
      <w:rFonts w:ascii="Calibri" w:eastAsia="Times New Roman"/>
      <w:sz w:val="18"/>
    </w:rPr>
  </w:style>
  <w:style w:type="paragraph" w:customStyle="1" w:styleId="30">
    <w:name w:val="ParaAttribute7"/>
    <w:qFormat/>
    <w:uiPriority w:val="99"/>
    <w:pPr>
      <w:widowControl w:val="0"/>
      <w:wordWrap w:val="0"/>
    </w:pPr>
    <w:rPr>
      <w:rFonts w:ascii="Times New Roman" w:hAnsi="Times New Roman" w:eastAsia="宋体" w:cs="Times New Roman"/>
      <w:lang w:val="en-US" w:eastAsia="zh-CN" w:bidi="ar-SA"/>
    </w:rPr>
  </w:style>
  <w:style w:type="paragraph" w:customStyle="1" w:styleId="31">
    <w:name w:val="ParaAttribute5"/>
    <w:qFormat/>
    <w:uiPriority w:val="99"/>
    <w:pPr>
      <w:widowControl w:val="0"/>
      <w:wordWrap w:val="0"/>
    </w:pPr>
    <w:rPr>
      <w:rFonts w:ascii="Times New Roman" w:hAnsi="Times New Roman" w:eastAsia="宋体" w:cs="Times New Roman"/>
      <w:lang w:val="en-US" w:eastAsia="zh-CN" w:bidi="ar-SA"/>
    </w:rPr>
  </w:style>
  <w:style w:type="paragraph" w:customStyle="1" w:styleId="32">
    <w:name w:val="列表段落1"/>
    <w:basedOn w:val="1"/>
    <w:qFormat/>
    <w:uiPriority w:val="34"/>
    <w:pPr>
      <w:ind w:firstLine="420" w:firstLineChars="200"/>
    </w:pPr>
  </w:style>
  <w:style w:type="character" w:customStyle="1" w:styleId="33">
    <w:name w:val="font01"/>
    <w:basedOn w:val="17"/>
    <w:qFormat/>
    <w:uiPriority w:val="0"/>
    <w:rPr>
      <w:rFonts w:hint="default" w:ascii="Arial" w:hAnsi="Arial" w:cs="Arial"/>
      <w:color w:val="000000"/>
      <w:sz w:val="18"/>
      <w:szCs w:val="18"/>
      <w:u w:val="none"/>
    </w:rPr>
  </w:style>
  <w:style w:type="character" w:customStyle="1" w:styleId="34">
    <w:name w:val="font41"/>
    <w:basedOn w:val="17"/>
    <w:qFormat/>
    <w:uiPriority w:val="0"/>
    <w:rPr>
      <w:rFonts w:ascii="Arial" w:hAnsi="Arial" w:cs="Arial"/>
      <w:color w:val="000000"/>
      <w:sz w:val="18"/>
      <w:szCs w:val="18"/>
      <w:u w:val="none"/>
    </w:rPr>
  </w:style>
  <w:style w:type="paragraph" w:customStyle="1" w:styleId="35">
    <w:name w:val="List Paragraph1"/>
    <w:basedOn w:val="1"/>
    <w:qFormat/>
    <w:uiPriority w:val="99"/>
    <w:pPr>
      <w:ind w:firstLine="420" w:firstLineChars="200"/>
    </w:pPr>
  </w:style>
  <w:style w:type="character" w:customStyle="1" w:styleId="36">
    <w:name w:val="font11"/>
    <w:basedOn w:val="17"/>
    <w:qFormat/>
    <w:uiPriority w:val="0"/>
    <w:rPr>
      <w:rFonts w:hint="eastAsia" w:ascii="宋体" w:hAnsi="宋体" w:eastAsia="宋体" w:cs="宋体"/>
      <w:color w:val="000000"/>
      <w:sz w:val="22"/>
      <w:szCs w:val="22"/>
      <w:u w:val="none"/>
    </w:rPr>
  </w:style>
  <w:style w:type="character" w:customStyle="1" w:styleId="37">
    <w:name w:val="font61"/>
    <w:basedOn w:val="17"/>
    <w:qFormat/>
    <w:uiPriority w:val="0"/>
    <w:rPr>
      <w:rFonts w:ascii="Arial" w:hAnsi="Arial" w:cs="Arial"/>
      <w:color w:val="FF0000"/>
      <w:sz w:val="22"/>
      <w:szCs w:val="22"/>
      <w:u w:val="none"/>
    </w:rPr>
  </w:style>
  <w:style w:type="character" w:customStyle="1" w:styleId="38">
    <w:name w:val="font51"/>
    <w:basedOn w:val="17"/>
    <w:qFormat/>
    <w:uiPriority w:val="0"/>
    <w:rPr>
      <w:rFonts w:hint="eastAsia" w:ascii="微软雅黑" w:hAnsi="微软雅黑" w:eastAsia="微软雅黑" w:cs="微软雅黑"/>
      <w:color w:val="FF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44</Pages>
  <Words>22551</Words>
  <Characters>26278</Characters>
  <TotalTime>4</TotalTime>
  <ScaleCrop>false</ScaleCrop>
  <LinksUpToDate>false</LinksUpToDate>
  <CharactersWithSpaces>27282</CharactersWithSpaces>
  <Application>WPS Office_11.8.2.8875_F1E327BC-269C-435d-A152-05C5408002CA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2021-11-10T09:47:00Z</dcterms:created>
  <dc:creator>tfthpc</dc:creator>
  <cp:lastModifiedBy>系统管理员</cp:lastModifiedBy>
  <cp:lastPrinted>2023-02-27T14:52:00Z</cp:lastPrinted>
  <dcterms:modified xsi:type="dcterms:W3CDTF">2025-11-26T06:14:02Z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D6BAEE9DB3254BE1AEF602DEA0669801</vt:lpwstr>
  </property>
</Properties>
</file>